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49977-2024 i Åre kommun</w:t>
      </w:r>
    </w:p>
    <w:p>
      <w:r>
        <w:t>Denna tillsynsbegäran behandlar höga naturvärden i avverkningsanmälan A 49977-2024 i Åre kommun som inkom 2024-11-01 och omfattar 13,3 ha.</w:t>
      </w:r>
    </w:p>
    <w:p>
      <w:pPr>
        <w:pStyle w:val="Caption"/>
      </w:pPr>
      <w:r>
        <w:drawing>
          <wp:inline xmlns:a="http://schemas.openxmlformats.org/drawingml/2006/main" xmlns:pic="http://schemas.openxmlformats.org/drawingml/2006/picture">
            <wp:extent cx="5486400" cy="4998091"/>
            <wp:docPr id="1" name="Picture 1"/>
            <wp:cNvGraphicFramePr>
              <a:graphicFrameLocks noChangeAspect="1"/>
            </wp:cNvGraphicFramePr>
            <a:graphic>
              <a:graphicData uri="http://schemas.openxmlformats.org/drawingml/2006/picture">
                <pic:pic>
                  <pic:nvPicPr>
                    <pic:cNvPr id="0" name="A 49977-2024 karta.png"/>
                    <pic:cNvPicPr/>
                  </pic:nvPicPr>
                  <pic:blipFill>
                    <a:blip r:embed="rId16"/>
                    <a:stretch>
                      <a:fillRect/>
                    </a:stretch>
                  </pic:blipFill>
                  <pic:spPr>
                    <a:xfrm>
                      <a:off x="0" y="0"/>
                      <a:ext cx="5486400" cy="4998091"/>
                    </a:xfrm>
                    <a:prstGeom prst="rect"/>
                  </pic:spPr>
                </pic:pic>
              </a:graphicData>
            </a:graphic>
          </wp:inline>
        </w:drawing>
      </w:r>
    </w:p>
    <w:p>
      <w:pPr>
        <w:pStyle w:val="Caption"/>
        <w:spacing w:after="240"/>
      </w:pPr>
      <w:r>
        <w:t>Figur 1. Fyndplatser för naturvårdsarter i och inom 17 meter från avverkningsanmälan. Markörer utan svart kant är placerade på fyndplatsen. Markörer med svart kant är placerade vid sidan av fyndplatsen och har ett svart streck som visar fyndplatsens exakta position. Kartans mittpunktskoordinat är N 7047580, E 416378 i SWEREF 99 TM.</w:t>
      </w:r>
    </w:p>
    <w:p>
      <w:r>
        <w:t>I och inom 17 meter från avverkningsanmälan finns fynd av 19 naturvårdsarter, varav 9 är rödlistade, 2 är fridlysta, 12 är typiska (T) och 10 är signalarter (S): skrovellavsknapp (EN), garnlav (VU, T), norsk näverlav (VU), Cheiromycina petri (NT), kavernularia (NT), lunglav (NT, T), nordlig nållav (NT), skrovellav (NT, T), tretåig hackspett (NT, T, §4), barkkornlav (S, T), bårdlav (S, T), granriska (S), gulnål (S, T), korallblylav (S, T), kransrams (S, T), luddlav (S, T), tibast (S, T), tvåblad (S, §8) och ögonpyrola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Skrovellavsknapp (EN)</w:t>
      </w:r>
      <w:r>
        <w:t xml:space="preserve"> är en starkt hotad parasitisk svamp som växer på på skrovellav (NT) och är knuten till gamla lövträd som sälg och rönn i skogar av naturskogskaraktär. Skrovellavsknapp är sannolikt extremt känslig för uttorkning och avverkningar på eller nära växtplatserna utgör ett stort hot. Samtliga skogsbestånd med förekomst av skrovellavsknapp måste skyddas. Genom att skydda och utveckla skogsmiljöer med skrovellavsknapp så gynnas också den likaså rödlistade värden skrovellav (NT) samt flera andra sällsynta och rödlistade lavar, däribland lavparasiterna </w:t>
      </w:r>
      <w:r>
        <w:rPr>
          <w:i/>
        </w:rPr>
        <w:t>Catillaria lobariicola</w:t>
      </w:r>
      <w:r>
        <w:t xml:space="preserve"> (VU) och </w:t>
      </w:r>
      <w:r>
        <w:rPr>
          <w:i/>
        </w:rPr>
        <w:t>Merismatium lobariae</w:t>
      </w:r>
      <w:r>
        <w:t xml:space="preserve"> (DD), som också är knutna till skrovellav (SLU Artdatabanken, 2026).</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Norsk näverlav (VU)</w:t>
      </w:r>
      <w:r>
        <w:t>, rödlistad som sårbar, är en suboceanisk art och påträffas bara i områden med hög och jämn luftfuktighet. Den växer i fuktiga granskogar, främst på stammar eller grenar av äldre björkar och granar. Arten är placerad i toppen av Skogsstyrelsens värdepyramid för bedömning av skog med höga naturvärden och försvinner eller missgynnas starkt vid all form av avverkning på eller i anslutning till lokalerna. Norsk näverlav har en hög andel av sin världspopulation i Norge och Sverige vilket medför ett särskilt ansvar för arten (Nitare &amp; Skogsstyrelsen, 2019; SLU Artdatabanken, 2024).</w:t>
      </w:r>
    </w:p>
    <w:p>
      <w:r>
        <w:rPr>
          <w:b/>
          <w:i/>
        </w:rPr>
        <w:t>Cheiromycina petri</w:t>
      </w:r>
      <w:r>
        <w:rPr>
          <w:b/>
        </w:rPr>
        <w:t xml:space="preserve"> (NT)</w:t>
      </w:r>
      <w:r>
        <w:t xml:space="preserve"> är påträffad på viden, gran och björkar. Arten påverkas negativt av förändrad beståndsstruktur och det föreligger indikation på eller misstanke om populationsminskning. Minskningen avser förekomstarea, kvalitén på artens habitat, antalet lokalområden och antalet reproduktiva individer (SLU Artdatabanken, 2026).</w:t>
      </w:r>
    </w:p>
    <w:p>
      <w:r>
        <w:rPr>
          <w:b/>
        </w:rPr>
        <w:t>Kavernularia (NT)</w:t>
      </w:r>
      <w:r>
        <w:t xml:space="preserve"> är en rikligt förgrenad bladlav, som på den svarta undersidan har rikligt med karaktäristiska små håligheter, s. k. cavernulae. Den växer på de nedre tunna grenarna av gran i halvöppna gamla granskogar i områden av Jämtland och Åsele Lappmark med ett suboceaniskt klimat. Avverkning av kontinuitetsskogar med hög och jämn luftfuktighet är ett hot. Flera områden med kavernularia måste skyddas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Nordlig nållav (NT)</w:t>
      </w:r>
      <w:r>
        <w:t xml:space="preserve"> signalerar alltid miljöer med höga naturvärden. På lokalerna förekommer nästan alltid andra rödlistade eller ovanliga arter knutna till gamla skogar. Alla skogsskötselåtgärder på eller i omedelbar närhet av lokalerna utgör ett hot. Några av lavens rikaste förekomster bör skyddas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Barkkornlav</w:t>
      </w:r>
      <w:r>
        <w:t xml:space="preserve"> växer på bark av bl.a. gran, ek, al, asp, rönn, sälg och en i ädellövskogar, granskogar, barr- och lövblandskogar med hög luftfuktighet. Barkkornlav är typisk art för </w:t>
      </w:r>
      <w:r>
        <w:rPr>
          <w:i/>
        </w:rPr>
        <w:t>9190 Näringsfattig ekskog</w:t>
      </w:r>
      <w:r>
        <w:t xml:space="preserve"> (SLU Artdatabanken, 2025).</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Kransrams</w:t>
      </w:r>
      <w:r>
        <w:t xml:space="preserve"> är typisk art för </w:t>
      </w:r>
      <w:r>
        <w:rPr>
          <w:i/>
        </w:rPr>
        <w:t xml:space="preserve">9020 Nordlig ädellövskog </w:t>
      </w:r>
      <w:r>
        <w:t>(SLU Artdatabanken, 2025).</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lunglav (NT, T), skrovellav (NT, T), tretåig hackspett (NT, T, §4), barkkornlav (S, T), bårdlav (S, T), gulnål (S, T), korallblylav (S, T), kransrams (S, T), luddlav (S, T), tibast (S, T) och ögonpyrola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Skrovellavsknapp – ekologi samt krav på livsmiljön</w:t>
      </w:r>
    </w:p>
    <w:p>
      <w:r>
        <w:t xml:space="preserve">Skrovellavsknapp (EN) är en starkt hotad parasitisk svamp som växer på på skrovellav (NT) och är knuten till gamla lövträd som sälg och rönn samt klippor i skogar av naturskogskaraktär. Skrovellavsknapp är sannolikt extremt känslig för uttorkning och avverkningar på eller nära växtplatserna utgör därför ett stort hot. Samtliga skogsbestånd med förekomst av skrovellavsknapp måste skyddas. Genom att skydda och utveckla skogsmiljöer med skrovellavsknapp så gynnas också den likaså rödlistade värden skrovellav samt även flera andra sällsynta och rödlistade lavar, däribland lavparasiterna </w:t>
      </w:r>
      <w:r>
        <w:rPr>
          <w:i/>
        </w:rPr>
        <w:t>Catillaria lobariicola</w:t>
      </w:r>
      <w:r>
        <w:t xml:space="preserve"> (VU) och </w:t>
      </w:r>
      <w:r>
        <w:rPr>
          <w:i/>
        </w:rPr>
        <w:t>Merismatium lobariae</w:t>
      </w:r>
      <w:r>
        <w:t xml:space="preserve"> (DD), som också är knutna till skrovellav (SLU Artdatabanken, 2026).</w:t>
      </w:r>
    </w:p>
    <w:p>
      <w:r>
        <w:t xml:space="preserve">Det är viktigt att spara skyddszoner kring bestånd där skrovellavsknapp förekommer, eftersom den är känslig för uttorkning. Skogar med extremt fuktigt lokalklimat i norra Sverige med arter av lunglavar </w:t>
      </w:r>
      <w:r>
        <w:rPr>
          <w:i/>
        </w:rPr>
        <w:t>Lobaria</w:t>
      </w:r>
      <w:r>
        <w:t xml:space="preserve"> på gran (Lobarion-samhällen) bör identifieras och skyddas då de alltid hyser sällsynta och rödlistade lavar. Det kan vara nödvändigt att stängsla in naturvårdsbrända områden för att undvika betning av lövträdsplantorna, om målsättningen är att få en lövbränna med ovan nämnda lövträd (SLU Artdatabanken, 2026).</w:t>
      </w:r>
    </w:p>
    <w:p>
      <w:pPr>
        <w:pStyle w:val="Heading2"/>
      </w:pPr>
      <w:r>
        <w:t>Referenser – skrovellavsknapp</w:t>
      </w:r>
    </w:p>
    <w:p>
      <w:r>
        <w:t xml:space="preserve">SLU Artdatabanken, 2026.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