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21939-2025 i Åre kommun</w:t>
      </w:r>
    </w:p>
    <w:p>
      <w:r>
        <w:t>Detta dokument behandlar höga naturvärden i avverkningsanmälan A 21939-2025 i Åre kommun. Denna avverkningsanmälan inkom 2025-05-07 och omfattar 6,5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finbräken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81647"/>
            <wp:docPr id="1" name="Picture 1"/>
            <wp:cNvGraphicFramePr>
              <a:graphicFrameLocks noChangeAspect="1"/>
            </wp:cNvGraphicFramePr>
            <a:graphic>
              <a:graphicData uri="http://schemas.openxmlformats.org/drawingml/2006/picture">
                <pic:pic>
                  <pic:nvPicPr>
                    <pic:cNvPr id="0" name="A 21939-2025 karta.png"/>
                    <pic:cNvPicPr/>
                  </pic:nvPicPr>
                  <pic:blipFill>
                    <a:blip r:embed="rId16"/>
                    <a:stretch>
                      <a:fillRect/>
                    </a:stretch>
                  </pic:blipFill>
                  <pic:spPr>
                    <a:xfrm>
                      <a:off x="0" y="0"/>
                      <a:ext cx="5486400" cy="3781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7007770, E 450719 i SWEREF 99 TM.</w:t>
      </w:r>
    </w:p>
    <w:p>
      <w:r>
        <w:rPr>
          <w:b/>
        </w:rPr>
        <w:t>Finbräken</w:t>
      </w:r>
      <w:r>
        <w:t xml:space="preserve"> växer på kalkrika marker i frisk eller fuktig mulljord. Den kräver konstant hög luftfuktighet och är mycket känslig för skogsbruksåtgärder. Arten är placerad högst upp i Skogsstyrelsens värdepyramid för bedömning av skog med höga naturvärden och utgör en karaktärsart för de mest skyddsvärda kalkgranskogarna med långvarig ekologisk kontinuitet och högt skyddsvärde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