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Granpensellav</w:t>
      </w:r>
      <w:r>
        <w:t xml:space="preserve"> förekommer i brynmiljöer med hög och jämn luftfuktighet i boreal skog. Arten växer på tunna grangrenar men även på björkgrenar och ved, ofta nära bäckar. Avverkning av grandominerad kontinuitetsskog med hög och jämn luftfuktighet utgör det största hotet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