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56368-2022 i Åre kommun</w:t>
      </w:r>
    </w:p>
    <w:p>
      <w:r>
        <w:t>Denna tillsynsbegäran behandlar höga naturvärden i avverkningsanmälan A 56368-2022 i Åre kommun som inkom 2022-11-22 och omfattar 28,3 ha.</w:t>
      </w:r>
    </w:p>
    <w:p>
      <w:pPr>
        <w:pStyle w:val="Caption"/>
      </w:pPr>
      <w:r>
        <w:drawing>
          <wp:inline xmlns:a="http://schemas.openxmlformats.org/drawingml/2006/main" xmlns:pic="http://schemas.openxmlformats.org/drawingml/2006/picture">
            <wp:extent cx="5241296" cy="5724000"/>
            <wp:docPr id="1" name="Picture 1"/>
            <wp:cNvGraphicFramePr>
              <a:graphicFrameLocks noChangeAspect="1"/>
            </wp:cNvGraphicFramePr>
            <a:graphic>
              <a:graphicData uri="http://schemas.openxmlformats.org/drawingml/2006/picture">
                <pic:pic>
                  <pic:nvPicPr>
                    <pic:cNvPr id="0" name="A 56368-2022 karta.png"/>
                    <pic:cNvPicPr/>
                  </pic:nvPicPr>
                  <pic:blipFill>
                    <a:blip r:embed="rId16"/>
                    <a:stretch>
                      <a:fillRect/>
                    </a:stretch>
                  </pic:blipFill>
                  <pic:spPr>
                    <a:xfrm>
                      <a:off x="0" y="0"/>
                      <a:ext cx="5241296"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7079007, E 397005 i SWEREF 99 TM.</w:t>
      </w:r>
    </w:p>
    <w:p>
      <w:r>
        <w:t>I och inom 18 meter från avverkningsanmälan finns fynd av 13 naturvårdsarter, varav 7 är rödlistade, 2 är fridlysta, 10 är typiska (T) och 6 är signalarter (S): garnlav (VU, T), gränsticka (VU, T), skuggkraterlav (VU), brunpudrad nållav (NT, T), rödbrun blekspik (NT, T), tretåig hackspett (NT, T, §4), vitgrynig nållav (NT), gytterlav (S, T), kambräken (S, T), kransrams (S, T), spindelblomster (S, T, §8), vedticka (S,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Skuggkraterlav (VU)</w:t>
      </w:r>
      <w:r>
        <w:t xml:space="preserve"> växer synnerligen skuggat i branta gamla granskogar och raviner med mycket hög luftfuktighet. Arten överlever inte en slutavverkning (inklusive hänsyn) och den finns idag enbart kvar i kontinuitetsskogar. Samtliga lokaler måste skyddas och lämnas för fri utveckling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Kransrams</w:t>
      </w:r>
      <w:r>
        <w:t xml:space="preserve"> är typisk art för </w:t>
      </w:r>
      <w:r>
        <w:rPr>
          <w:i/>
        </w:rPr>
        <w:t xml:space="preserve">9020 Nordlig ädellövskog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brunpudrad nållav (NT, T), rödbrun blekspik (NT, T), tretåig hackspett (NT, T, §4), gytterlav (S, T), kambräken (S, T), kransrams (S, T), spindelblomster (S, T, §8)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