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som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garnlav (VU, T), gropig skägglav (VU), gammelgransskål (NT, T), rödbrun blekspik (NT, T), vedflamlav (NT), vedflikmossa (NT), vedskivlav (NT, T), vitgrynig nållav (NT), källpraktmossa (S, T), mörk husmossa (S, T), purpurmylia (S), spindelblomster (S, T, §8), stor revmossa (S), stuplav (S, T) och västlig hakmossa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3068" cy="5688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63068"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