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10723-2023 i Åre kommun</w:t>
      </w:r>
    </w:p>
    <w:p>
      <w:r>
        <w:t>Detta dokument behandlar höga naturvärden i avverkningsanmälan A 10723-2023 i Åre kommun. Denna avverkningsanmälan inkom 2023-02-27 00:00:00 och omfattar 67,5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läderlappslav (VU), gammelgransskål (NT), garnlav (NT), granticka (NT), halmgul örnlav (NT), kavernularia (NT), knottrig blåslav (NT), liten svartspik (NT), skrovellav (NT), talltita (NT, §4), tretåig hackspett (NT, §4), vedflamlav (NT), vitgrynig nållav (NT), bårdlav (S), korallblylav (S), spindelblomster (S, §8), vedticka (S) och tjäder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10723-2023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7017204, E 368971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Halmgul örnlav (NT)</w:t>
      </w:r>
      <w:r>
        <w:t xml:space="preserve"> växer på bark och ved av gran och tall, oftast på riktigt gamla träd i gles boreal kontinuitetsskog eller myrkanter. Avverkning av boreal kontinuitetsskog är ett hot och skogsbruksåtgärder på eller i närheten av växtplatserna bör undvikas. Naturskogsartade skogar med förekomst av arten indikerar höga biologiska värden och bör bevaras. Särskilt angeläget är detta i naturskogsartade barrskogar. Minskningstakten för den svenska populationen bedöms vara nära gränsvärdet för Sårbar (VU) (SLU Artdatabanken, 2024).</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Läderlappslav (VU)</w:t>
      </w:r>
      <w:r>
        <w:t xml:space="preserve"> växer på gamla lövträd, främst lönn, rönn, asp och ask, på lokaler med hög luftfuktighet. Lämpliga lokaler bör skyddas. Tills vidare bör lokaler i skog undantas från rationell skogsskötsel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spindelblomster (S,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