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27634-2025 i Åre kommun</w:t>
      </w:r>
    </w:p>
    <w:p>
      <w:r>
        <w:t>Denna tillsynsbegäran behandlar höga naturvärden i avverkningsanmälan A 27634-2025 i Åre kommun som inkom 2025-06-05 och omfattar 8,1 ha.</w:t>
      </w:r>
    </w:p>
    <w:p>
      <w:pPr>
        <w:pStyle w:val="Caption"/>
      </w:pPr>
      <w:r>
        <w:drawing>
          <wp:inline xmlns:a="http://schemas.openxmlformats.org/drawingml/2006/main" xmlns:pic="http://schemas.openxmlformats.org/drawingml/2006/picture">
            <wp:extent cx="5061118" cy="5724000"/>
            <wp:docPr id="1" name="Picture 1"/>
            <wp:cNvGraphicFramePr>
              <a:graphicFrameLocks noChangeAspect="1"/>
            </wp:cNvGraphicFramePr>
            <a:graphic>
              <a:graphicData uri="http://schemas.openxmlformats.org/drawingml/2006/picture">
                <pic:pic>
                  <pic:nvPicPr>
                    <pic:cNvPr id="0" name="A 27634-2025 karta.png"/>
                    <pic:cNvPicPr/>
                  </pic:nvPicPr>
                  <pic:blipFill>
                    <a:blip r:embed="rId16"/>
                    <a:stretch>
                      <a:fillRect/>
                    </a:stretch>
                  </pic:blipFill>
                  <pic:spPr>
                    <a:xfrm>
                      <a:off x="0" y="0"/>
                      <a:ext cx="5061118"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7011820, E 402419 i SWEREF 99 TM.</w:t>
      </w:r>
    </w:p>
    <w:p>
      <w:r>
        <w:t>I och inom 22 meter från avverkningsanmälan finns fynd av 18 naturvårdsarter, varav 9 är rödlistade, 13 är fridlysta, 7 är typiska (T) och 2 är signalarter (S): grönfink (VU, §4), doftskinn (NT, T), järnsparv (NT, §4), ladusvala (NT, §4), rynkskinn (NT, T), skogshare (NT), talltita (NT, §4), tretåig hackspett (NT, T, §4), älg (NT), korallrot (S, T, §8), ögonpyrola (S, T), gråspett (T, §4), tjäder (T, §4), grönsiska (§4), kråka (§4), kungsfågel (§4), svartvit flugsnappare (§4) och trana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Doftskinn (NT)</w:t>
      </w:r>
      <w:r>
        <w:t xml:space="preserve">, rödlistad som nära hotad, är en mycket bra signalart för boreal granskog och indikerar ett gran-skogsekosystem med lång kontinuitet av grova lågor. Arten är placerad i toppen av Skogsstyrelsens värdepyramid för bedömning av skog med höga naturvärden och har klassats som en “urskogsindikator”, då den förekommer med ett tydligt optimum i helt eller nästan helt orörda skogar. Doftskinn är typisk art för </w:t>
      </w:r>
      <w:r>
        <w:rPr>
          <w:i/>
        </w:rPr>
        <w:t xml:space="preserve">9010 Taiga </w:t>
      </w:r>
      <w:r>
        <w:t>(SLU Artdatabanken, 2025; Nitare &amp; Skogsstyrelsen, 2019).</w:t>
      </w:r>
    </w:p>
    <w:p>
      <w:r>
        <w:rPr>
          <w:b/>
        </w:rPr>
        <w:t>Rynkskinn (NT)</w:t>
      </w:r>
      <w:r>
        <w:t xml:space="preserve"> är en vednedbrytare som växer på grova granlågor och ingår i en karaktäristisk association av vedsvampar knutna till urskogsartade barrskogar. Den har klassificerats som en “urskogsindikator” och är placerad i toppen av Skogsstyrelsens värdepyramid för bedömning av skog med höga naturvärden. Allt tyder på att rynkskinn är mycket känslig för skogliga ingrepp och lokalerna, som oftast har höga biologiska kvaliteter, bör lämnas till fri utveckling. Rynkskinn är typisk art för </w:t>
      </w:r>
      <w:r>
        <w:rPr>
          <w:i/>
        </w:rPr>
        <w:t xml:space="preserve">9010 Taiga, 9050 Näringsrik granskog </w:t>
      </w:r>
      <w:r>
        <w:t>och</w:t>
      </w:r>
      <w:r>
        <w:rPr>
          <w:i/>
        </w:rPr>
        <w:t xml:space="preserve"> 9030 Landhöjningsskog</w:t>
      </w:r>
      <w:r>
        <w:t xml:space="preserve"> (Nitare &amp; Skogsstyrelsen, 2019;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Korallrot (§8)</w:t>
      </w:r>
      <w:r>
        <w:t xml:space="preserve"> växer i sumpskogar och annan fuktig eller växelfuktig skogsmark, exempelvis i alkärr och kärrkanter, fuktiga bäckdalar, raviner, myrlaggar, sumpiga strandskogar samt i fuktiga lundar. Den visar på mer eller mindre stabila förhållanden och intakt hydrologi och är känslig för avverkning, körskador, skogsgödsling och dikning. Korallrot är typisk art för </w:t>
      </w:r>
      <w:r>
        <w:rPr>
          <w:i/>
        </w:rPr>
        <w:t>9080 Lövsumpskog</w:t>
      </w:r>
      <w:r>
        <w:t xml:space="preserve"> och fridlyst enligt 8 § artskyddsförordningen (SLU Artdatabanken, 2024; Nitare &amp; Skogsstyrelsen, 2019).</w:t>
      </w:r>
    </w:p>
    <w:p>
      <w:r>
        <w:rPr>
          <w:b/>
        </w:rPr>
        <w:t xml:space="preserve">Ögonpyrola </w:t>
      </w:r>
      <w:r>
        <w:t xml:space="preserve">är normalt en bra signalart som visar på områden med höga naturvärden och stabila förhållanden, särskilt inom näringsfattiga trakter. Växten är mycket känslig för markskador och försvinner snabbt efter slutavverkning. Den hotas också av skogsgödsling och markavvattning. Ögonpyrola är typisk art för </w:t>
      </w:r>
      <w:r>
        <w:rPr>
          <w:i/>
        </w:rPr>
        <w:t>9010 Taiga</w:t>
      </w:r>
      <w:r>
        <w:t xml:space="preserve"> och</w:t>
      </w:r>
      <w:r>
        <w:rPr>
          <w:i/>
        </w:rPr>
        <w:t xml:space="preserve"> 9070 Trädklädd betesmark</w:t>
      </w:r>
      <w:r>
        <w:t xml:space="preserve"> (Nitare &amp; Skogsstyrelsen, 2019; SLU Artdatabanken, 2024).</w:t>
      </w:r>
    </w:p>
    <w:p>
      <w:r>
        <w:rPr>
          <w:b/>
        </w:rPr>
        <w:t>Gråspett (§4)</w:t>
      </w:r>
      <w:r>
        <w:t xml:space="preserve"> är fridlyst enligt 4§ artskyddsförordningen och upptagen i bilaga 1 fågeldirektivet. Gråspetten är en bra indikator för lövrika områden på landskapsnivå och försvinner när gles, flerskiktad, lövrik skog med hög andel döda och döende träd ersätts av täta, barrdominerade likåldriga bestånd. Arten missgynnas av skogliga åtgärder som minskar mängden död ved, som t.ex. bortrensning av vindfällen, avverkning i sumpskogsmiljöer och på brandfält. Häckningsreviret är stort, cirka 50–100 hektar. Under vintern är gråspetten mer beroende av äldre skog och döda träd och kan då röra sig över betydligt större områden, uppemot 2000–5000 hektar. Gråspett är typisk art för </w:t>
      </w:r>
      <w:r>
        <w:rPr>
          <w:i/>
        </w:rPr>
        <w:t xml:space="preserve">9010 Taiga </w:t>
      </w:r>
      <w:r>
        <w:t>(Skogsstyrelsen, 2016; SLU Artdatabanken, 2025).</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doftskinn (NT, T), rynkskinn (NT, T), tretåig hackspett (NT, T, §4), korallrot (S, T, §8), ögonpyrola (S, T), gråspett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