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28022-2026 i Åre kommun</w:t>
      </w:r>
    </w:p>
    <w:p>
      <w:r>
        <w:t>Denna tillsynsbegäran behandlar höga naturvärden i avverkningsanmälan A 28022-2026 i Åre kommun som inkom 2026-06-22 och omfattar 2,9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28022-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7019694, E 410100 i SWEREF 99 TM.</w:t>
      </w:r>
    </w:p>
    <w:p>
      <w:r>
        <w:t>I och inom 22 meter från avverkningsanmälan finns fynd av 29 naturvårdsarter, varav 14 är rödlistade, 5 är fridlysta, 19 är typiska (T) och 12 är signalarter (S): grangytterlav (EN), grynlav (EN), elfenbenslav (VU, §8), garnlav (VU, T), norsk näverlav (VU), pudrad rosettlav (VU), lavskrika (NT, T, §4), luddfingersvamp (NT), lunglav (NT, T), olivbrun gytterlav (NT, T), skrovellav (NT, T), skuggblåslav (NT, T), vedtrappmossa (NT, T), grynig kolvlav (DD), bårdlav (S, T), gytterlav (S, T), korallblylav (S, T), korallrot (S, T, §8), luddlav (S, T), nordlig fjädermossa (S), platt fjädermossa (S, T), skinnlav (S, T), skogstimmia (S), spindelblomster (S, T, §8), stuplav (S, T), trådticka (S, T), ormbär (T), timmerticka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Grangytterlav (EN)</w:t>
      </w:r>
      <w:r>
        <w:t xml:space="preserve"> är en starkt hotad art som i Sverige växer på sydvända men skuggade klippväggar och block omgivna av skog i områden med mycket hög och jämn luftfuktighet. Alla skogsskötselåtgärder på eller i närheten av lokalerna utgör ett hot. Då grangytterlav har en mycket begränsad europeisk utbredning och en stor andel av den europeiska populationen finns i Sverige har Sverige ett speciellt ansvar för denna art (SLU Artdatabanken, 2024).</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Elfenbenslav (VU, §8)</w:t>
      </w:r>
      <w:r>
        <w:t xml:space="preserve"> växer på mossiga klippor, klippblock eller vid basen av lövträd i öppna skogsklädda bergbranter med mycket hög luftfuktighet. Avverkning eller andra åtgärder som exponerar klippor med elfenbenslav för direkt solljus är det största hotet. Även andra åtgärder som förändrar lokalklimatet till ett ljusare och torrare tillstånd, som dikning eller utglesning av trädskiktet, är ett hot. Arten är fridlyst enligt 8 § artskyddsförordningen och omfattas av ett åtgärdsprogram för hotade arter (ÅGP). Minskningstakten har uppgått till 30 (25–50) % under de senaste 50 åren och överstiger gränsvärdet för Sårbar (VU). Få lokaler är skyddade och fler måste skyddas. Det är viktigt att skyddade områden får en väl tilltagen skyddszon. Populationsutvecklingen måste hållas under kontinuerlig uppsikt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Pudrad rosettlav (VU)</w:t>
      </w:r>
      <w:r>
        <w:t xml:space="preserve"> växer på sydvända, solexponerade silikat- och grönstensbranter. När den förekommer på silikatklippor är dessa påverkade av basiskt sippervatten. Bålarna växer på ytor som är något skyddade mot regn, t.ex. under små överhäng. I närheten av lokalerna finns ofta en myr eller vattendrag som ger hög luftfuktighet. De små, glest spridda populationerna gör att det finns en stor risk för att pudrad rosettlav skall försvinna från lokaler p.g.a. slumpfaktorer. Kända lokaler bör skyddas (SLU Artdatabanken, 2025).</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Olivbrun gytterlav är typisk art för </w:t>
      </w:r>
      <w:r>
        <w:rPr>
          <w:i/>
        </w:rPr>
        <w:t xml:space="preserve">9020 Nordlig ädellövskog, 9070 Trädklädd betesmark </w:t>
      </w:r>
      <w:r>
        <w:t xml:space="preserve">och </w:t>
      </w:r>
      <w:r>
        <w:rPr>
          <w:i/>
        </w:rPr>
        <w:t xml:space="preserve">9180 Ädellövskog i branter </w:t>
      </w:r>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Grynig kolvlav (DD)</w:t>
      </w:r>
      <w:r>
        <w:t xml:space="preserve"> växer i raviner med kontinuitetsskog men finns också på kalfjäll på lokaler med hög luftfuktighet. Arten påverkas negativt av brist på kontinuitetsskog men faktaunderlaget bedöms vara otillräckligt för att avgöra vilken av de olika rödlistningskategorierna som är mest trolig. På grynig kolvlav kan den sällsynta lavparasiten </w:t>
      </w:r>
      <w:r>
        <w:rPr>
          <w:i/>
        </w:rPr>
        <w:t>Lasiosphaeriopsis pilophori</w:t>
      </w:r>
      <w:r>
        <w:t xml:space="preserve"> (DD) påträffas. Grynig kolvlav är typisk art för </w:t>
      </w:r>
      <w:r>
        <w:rPr>
          <w:i/>
        </w:rPr>
        <w:t>8110 Silikatrasmarker</w:t>
      </w:r>
      <w:r>
        <w:t xml:space="preserve"> och </w:t>
      </w:r>
      <w:r>
        <w:rPr>
          <w:i/>
        </w:rPr>
        <w:t>8120 Kalkrasmarker</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Ormbär</w:t>
      </w:r>
      <w:r>
        <w:t xml:space="preserve"> är typisk art för </w:t>
      </w:r>
      <w:r>
        <w:rPr>
          <w:i/>
        </w:rPr>
        <w:t xml:space="preserve">9050 Näringsrik granskog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olivbrun gytterlav (NT, T), skrovellav (NT, T), skuggblåslav (NT, T), vedtrappmossa (NT, T), bårdlav (S, T), gytterlav (S, T), korallblylav (S, T), korallrot (S, T, §8), luddlav (S, T), platt fjädermossa (S, T), skinnlav (S, T), spindelblomster (S, T, §8), stuplav (S, T), trådticka (S, T), ormbär (T)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