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28022-2026 i Åre kommun</w:t>
      </w:r>
    </w:p>
    <w:p>
      <w:r>
        <w:t>Denna tillsynsbegäran behandlar höga naturvärden i avverkningsanmälan A 28022-2026 i Åre kommun som inkom 2026-06-22 och omfattar 2,9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28022-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7019694, E 410100 i SWEREF 99 TM.</w:t>
      </w:r>
    </w:p>
    <w:p>
      <w:r>
        <w:t>I och inom 22 meter från avverkningsanmälan finns fynd av 29 naturvårdsarter, varav 14 är rödlistade, 5 är fridlysta, 19 är typiska (T) och 12 är signalarter (S): grangytterlav (EN), grynlav (EN), elfenbenslav (VU, §8), garnlav (VU, T), norsk näverlav (VU), pudrad rosettlav (VU), lavskrika (NT, T, §4), luddfingersvamp (NT), lunglav (NT, T), olivbrun gytterlav (NT, T), skrovellav (NT, T), skuggblåslav (NT, T), vedtrappmossa (NT, T), grynig kolvlav (DD), bårdlav (S, T), gytterlav (S, T), korallblylav (S, T), korallrot (S, T, §8), luddlav (S, T), nordlig fjädermossa (S), platt fjädermossa (S, T), skinnlav (S, T), skogstimmia (S), spindelblomster (S, T, §8), stuplav (S, T), trådticka (S, T), ormbär (T), timmerticka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Pudrad rosettlav (VU)</w:t>
      </w:r>
      <w:r>
        <w:t xml:space="preserve"> växer på sydvända, solexponerade silikat- och grönstensbranter. När den förekommer på silikatklippor är dessa påverkade av basiskt sippervatten. Bålarna växer på ytor som är något skyddade mot regn, t.ex. under små överhäng. I närheten av lokalerna finns ofta en myr eller vattendrag som ger hög luftfuktighet. De små, glest spridda populationerna gör att det finns en stor risk för att pudrad rosettlav skall försvinna från lokaler p.g.a. slumpfaktorer. Kända lokaler bör skyddas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olivbrun gytterlav (NT, T), skrovellav (NT, T), skuggblåslav (NT, T), vedtrappmossa (NT, T), bårdlav (S, T), gytterlav (S, T), korallblylav (S, T), korallrot (S, T, §8), luddlav (S, T), platt fjädermossa (S, T), skinnlav (S, T), spindelblomster (S, T, §8), stuplav (S, T), trådticka (S, T), ormbär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