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288-2026 i Åre kommun</w:t>
      </w:r>
    </w:p>
    <w:p>
      <w:r>
        <w:t>Denna tillsynsbegäran behandlar höga naturvärden i samrådsanmälan S 288-2026 i Åre kommun som inkom 2026-02-04 och omfattar 12,9 ha.</w:t>
      </w:r>
    </w:p>
    <w:p>
      <w:pPr>
        <w:pStyle w:val="Caption"/>
      </w:pPr>
      <w:r>
        <w:drawing>
          <wp:inline xmlns:a="http://schemas.openxmlformats.org/drawingml/2006/main" xmlns:pic="http://schemas.openxmlformats.org/drawingml/2006/picture">
            <wp:extent cx="5486400" cy="3951716"/>
            <wp:docPr id="1" name="Picture 1"/>
            <wp:cNvGraphicFramePr>
              <a:graphicFrameLocks noChangeAspect="1"/>
            </wp:cNvGraphicFramePr>
            <a:graphic>
              <a:graphicData uri="http://schemas.openxmlformats.org/drawingml/2006/picture">
                <pic:pic>
                  <pic:nvPicPr>
                    <pic:cNvPr id="0" name="S 288-2026 karta.png"/>
                    <pic:cNvPicPr/>
                  </pic:nvPicPr>
                  <pic:blipFill>
                    <a:blip r:embed="rId16"/>
                    <a:stretch>
                      <a:fillRect/>
                    </a:stretch>
                  </pic:blipFill>
                  <pic:spPr>
                    <a:xfrm>
                      <a:off x="0" y="0"/>
                      <a:ext cx="5486400" cy="395171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7041453, E 402612 i SWEREF 99 TM.</w:t>
      </w:r>
    </w:p>
    <w:p>
      <w:r>
        <w:t>I samrådsanmälan finns fynd av 7 naturvårdsarter, varav 4 är rödlistade, 2 är typiska (T) och 3 är signalarter (S): borgsjömusseron (VU), garnlav (VU, T), liten svartspik (NT), vitgrynig nållav (NT), diskvaxskivling (S), svavelriska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Borgsjömusseron (VU)</w:t>
      </w:r>
      <w:r>
        <w:t xml:space="preserve"> bildar mykorrhiza med gran, oftast i äldre örtrik barrskog. Typiska växtplatser är svackor med djupt mosstäcke eller fuktiga sluttningar. Den missgynnas starkt av skogsbruk, i synnerhet kalavverkning, eftersom den har en begränsad ekologisk nisch och sannolikt är känslig för uttorkning. Flera av fyndplatserna i Medelpad är redan förstörda på grund av kalavverkning. Arten är globalt rödlistad som sårbar (VU) vilket innebär att Sverige har ett internationellt ansvar för arten (SLU Artdatabanken, 2024; Nitare &amp; Skogsstyrelsen, 2019; IUCN, 2015).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