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7088-2019 i Åre kommun</w:t>
      </w:r>
    </w:p>
    <w:p>
      <w:r>
        <w:t>Detta dokument behandlar höga naturvärden i avverkningsanmälan A 7088-2019 i Åre kommun. Denna avverkningsanmälan inkom 2019-01-31 och omfattar 4,7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 I BILAGA 1 finns artfakta om fridlysta arter.</w:t>
      </w:r>
    </w:p>
    <w:p>
      <w:pPr>
        <w:pStyle w:val="Heading1"/>
      </w:pPr>
      <w:r>
        <w:t>Naturvårdsarter</w:t>
      </w:r>
    </w:p>
    <w:p>
      <w:r>
        <w:t>I avverkningsanmälan har följande 3 naturvårdsarter hittats: knärot (VU, §8), garnlav (NT) och svavelriska (S). Av dessa är 2 rödlistade. För rödlistade arter har rödlistekategorin angivits inom parentes.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325607"/>
            <wp:docPr id="1" name="Picture 1"/>
            <wp:cNvGraphicFramePr>
              <a:graphicFrameLocks noChangeAspect="1"/>
            </wp:cNvGraphicFramePr>
            <a:graphic>
              <a:graphicData uri="http://schemas.openxmlformats.org/drawingml/2006/picture">
                <pic:pic>
                  <pic:nvPicPr>
                    <pic:cNvPr id="0" name="A 7088-2019 karta.png"/>
                    <pic:cNvPicPr/>
                  </pic:nvPicPr>
                  <pic:blipFill>
                    <a:blip r:embed="rId16"/>
                    <a:stretch>
                      <a:fillRect/>
                    </a:stretch>
                  </pic:blipFill>
                  <pic:spPr>
                    <a:xfrm>
                      <a:off x="0" y="0"/>
                      <a:ext cx="5486400" cy="4325607"/>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6990505, E 461957 i SWEREF 99 TM.</w:t>
      </w:r>
    </w:p>
    <w:p>
      <w:pPr>
        <w:pStyle w:val="Heading1"/>
      </w:pPr>
      <w:r>
        <w:t>Fridlysta arter</w:t>
      </w:r>
    </w:p>
    <w:p>
      <w:r>
        <w:t>Följande fridlysta arter har sina livsmiljöer och växtplatser i den avverkningsanmälda skogen: knärot (VU, §8).</w:t>
      </w:r>
    </w:p>
    <w:p>
      <w:r>
        <w:rPr>
          <w:b/>
        </w:rPr>
        <w:t>Knärot (VU, §8)</w:t>
      </w:r>
      <w:r>
        <w:t xml:space="preserve"> är rödlistad som sårbar (VU). För att knärot inte ska ta skada av skogsbruksåtgärder i intilliggande skog krävs buffertzoner på minst 50 meter (Johnson, 2014; Koelmeijer m.fl., 2022; Skogsstyrelsen, 2022). Arten är även känslig för gallring vilket framgår av Skogsstyrelsens egen vägledning för hänsyn till knärot (Skogsstyrelsen, 2022). För rika förekomster av knärot är reservatsbildning eller biotopskydd lämpliga åtgärder för att skydda den (SLU Artdatabanken, 2023).</w:t>
      </w:r>
    </w:p>
    <w:p>
      <w:r>
        <w:t>I det avverkningsanmälda området finns 1 fyndplatser för knärot registrerade på Artportalen. Figur 2 visar gränserna för buffertzoner på 50 m, som behöver lämnas kring fyndplatserna för att knärotslokalerna inte ska försvinna vid en avverkning. Av det avverkningsanmälda området överlappar 0.74 ha med buffertzonerna och får av detta skäl inte avverkas.</w:t>
      </w:r>
    </w:p>
    <w:p>
      <w:pPr>
        <w:pStyle w:val="Caption"/>
      </w:pPr>
      <w:r>
        <w:drawing>
          <wp:inline xmlns:a="http://schemas.openxmlformats.org/drawingml/2006/main" xmlns:pic="http://schemas.openxmlformats.org/drawingml/2006/picture">
            <wp:extent cx="5486400" cy="4915188"/>
            <wp:docPr id="2" name="Picture 2"/>
            <wp:cNvGraphicFramePr>
              <a:graphicFrameLocks noChangeAspect="1"/>
            </wp:cNvGraphicFramePr>
            <a:graphic>
              <a:graphicData uri="http://schemas.openxmlformats.org/drawingml/2006/picture">
                <pic:pic>
                  <pic:nvPicPr>
                    <pic:cNvPr id="0" name="A 7088-2019 karta knärot.png"/>
                    <pic:cNvPicPr/>
                  </pic:nvPicPr>
                  <pic:blipFill>
                    <a:blip r:embed="rId17"/>
                    <a:stretch>
                      <a:fillRect/>
                    </a:stretch>
                  </pic:blipFill>
                  <pic:spPr>
                    <a:xfrm>
                      <a:off x="0" y="0"/>
                      <a:ext cx="5486400" cy="4915188"/>
                    </a:xfrm>
                    <a:prstGeom prst="rect"/>
                  </pic:spPr>
                </pic:pic>
              </a:graphicData>
            </a:graphic>
          </wp:inline>
        </w:drawing>
      </w:r>
    </w:p>
    <w:p>
      <w:pPr>
        <w:pStyle w:val="Caption"/>
      </w:pPr>
      <w:r>
        <w:t>Figur 2. Fyndplatser och buffertzoner för knärot i det avverkningsanmälda området. Endast fyndplaster vars buffertzoner överlappar med det avverkningsanmälda området har tagits med i visualiseringen. Kartans mittpunktskoordinat är N 6990505, E 461957 i SWEREF 99 TM.</w:t>
      </w:r>
    </w:p>
    <w:p>
      <w:pPr>
        <w:pStyle w:val="Caption"/>
      </w:pPr>
    </w:p>
    <w:p>
      <w:r>
        <w:t>I BILAGA 1 finns mer detaljerad information om ekologi samt krav på livsmiljö hos fridlysta arter.</w:t>
      </w:r>
    </w:p>
    <w:p>
      <w:r>
        <w:br w:type="page"/>
      </w:r>
    </w:p>
    <w:p>
      <w:pPr>
        <w:pStyle w:val="Title"/>
      </w:pPr>
      <w:r>
        <w:t>BILAGA 1 - Fridlysta arter</w:t>
      </w:r>
    </w:p>
    <w:p>
      <w:pPr>
        <w:pStyle w:val="Heading1"/>
      </w:pPr>
      <w:r>
        <w:t>Knärot – ekologi samt krav på livsmiljön</w:t>
      </w:r>
    </w:p>
    <w:p>
      <w:r>
        <w:t>Knärot är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iförhållande till sin generationstid än vad som tidigare varit känt (data från Riksskogstaxeringen) höjdes den till hotkategori sårbar (VU) i rödlistan 2020 (Artdatabanken, 2021).</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En nyligen publicerad vetenskaplig uppsats av Koelmeijer m.fl. (2022) inkluderar orkidén knärots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 – 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 xml:space="preserve">Ecological Applications, 22, 2049-2064 </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2021. </w:t>
      </w:r>
      <w:r>
        <w:rPr>
          <w:i/>
        </w:rPr>
        <w:t xml:space="preserve">Artfaktablad. Naturvård – artfakta. </w:t>
      </w:r>
      <w:r>
        <w:t xml:space="preserve">SLU Artdatabanken, Uppsala </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2024-03-12</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