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47988-2025 i Åre kommun</w:t>
      </w:r>
    </w:p>
    <w:p>
      <w:r>
        <w:t>Denna tillsynsbegäran behandlar höga naturvärden i avverkningsanmälan A 47988-2025 i Åre kommun som inkom 2025-10-01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638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988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638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7003944, E 436770 i SWEREF 99 TM.</w:t>
      </w:r>
    </w:p>
    <w:p>
      <w:r>
        <w:t>I avverkningsanmälan finns fynd av 3 naturvårdsarter, varav 1 är rödlistad och 2 är signalarter (S): vitgrynig nållav (NT), diskvaxskivling (S) och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Vitgrynig nållav (NT)</w:t>
      </w:r>
      <w:r>
        <w:t xml:space="preserve"> växer nästan uteslutande på bark av gamla, senvuxna granar i skuggiga lägen med hög och jämn luftfuktighet. Den vanligaste naturtypen för arten är kontinuitetsskogar på frisk mark men den finns också i sumpgranskogar. På lång sikt utgör avverkningar av olikåldriga granskogar av naturskogskaraktär ett allvarligt hot mot arten och skogsbruksåtgärder på eller i närheten av växtplatserna bör undvikas. Naturskogsartade, fuktiga granskogar med förekomster av arten signalerar höga biologiska värden och bör bevaras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