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57537-2024 i Åre kommun</w:t>
      </w:r>
    </w:p>
    <w:p>
      <w:r>
        <w:t>Detta klagomål behandlar höga naturvärden i avverkningsanmälan A 57537-2024 i Åre kommun som inkom 2024-12-04 och omfattar 19,1 ha.</w:t>
      </w:r>
    </w:p>
    <w:p>
      <w:pPr>
        <w:pStyle w:val="Caption"/>
      </w:pPr>
      <w:r>
        <w:drawing>
          <wp:inline xmlns:a="http://schemas.openxmlformats.org/drawingml/2006/main" xmlns:pic="http://schemas.openxmlformats.org/drawingml/2006/picture">
            <wp:extent cx="5486400" cy="5068389"/>
            <wp:docPr id="1" name="Picture 1"/>
            <wp:cNvGraphicFramePr>
              <a:graphicFrameLocks noChangeAspect="1"/>
            </wp:cNvGraphicFramePr>
            <a:graphic>
              <a:graphicData uri="http://schemas.openxmlformats.org/drawingml/2006/picture">
                <pic:pic>
                  <pic:nvPicPr>
                    <pic:cNvPr id="0" name="A 57537-2024 karta.png"/>
                    <pic:cNvPicPr/>
                  </pic:nvPicPr>
                  <pic:blipFill>
                    <a:blip r:embed="rId16"/>
                    <a:stretch>
                      <a:fillRect/>
                    </a:stretch>
                  </pic:blipFill>
                  <pic:spPr>
                    <a:xfrm>
                      <a:off x="0" y="0"/>
                      <a:ext cx="5486400" cy="5068389"/>
                    </a:xfrm>
                    <a:prstGeom prst="rect"/>
                  </pic:spPr>
                </pic:pic>
              </a:graphicData>
            </a:graphic>
          </wp:inline>
        </w:drawing>
      </w:r>
    </w:p>
    <w:p>
      <w:pPr>
        <w:pStyle w:val="Caption"/>
        <w:spacing w:after="240"/>
      </w:pPr>
      <w:r>
        <w:t>Figur 1. Fyndplatser för naturvårdsarter i och inom 10 meter från avverkningsanmälan. Markörer utan svart kant är placerade på fyndplatsen. Markörer med svart kant är placerade vid sidan av fyndplatsen och har ett svart streck som visar fyndplatsens exakta position. Kartans mittpunktskoordinat är N 7009427, E 438379 i SWEREF 99 TM.</w:t>
      </w:r>
    </w:p>
    <w:p>
      <w:r>
        <w:t>I och inom 10 meter från avverkningsanmälan finns fynd av 3 naturvårdsarter, varav 3 är rödlistade, 1 är fridlyst och 3 är typiska (T): garnlav (VU, T), tretåig hackspett (NT, T, §4) och ullticka (NT, 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Tretåig hackspett är typisk art för </w:t>
      </w:r>
      <w:r>
        <w:rPr>
          <w:i/>
        </w:rPr>
        <w:t xml:space="preserve">9010 Taiga, 9740 Skogsbevuxen myr, 9030 Landhöjningsskog </w:t>
      </w:r>
      <w:r>
        <w:t xml:space="preserve">och </w:t>
      </w:r>
      <w:r>
        <w:rPr>
          <w:i/>
        </w:rPr>
        <w:t>9040 Fjällbjörkskog</w:t>
      </w:r>
      <w:r>
        <w:t xml:space="preserve"> (Skogsstyrelsen, 2016; SLU Artdatabanken, 2024).</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de tre olika arterna ulltickeporing </w:t>
      </w:r>
      <w:r>
        <w:rPr>
          <w:i/>
        </w:rPr>
        <w:t xml:space="preserve">Skeletocutis brevispora </w:t>
      </w:r>
      <w:r>
        <w:t>(VU)</w:t>
      </w:r>
      <w:r>
        <w:rPr>
          <w:i/>
        </w:rPr>
        <w:t>, Skeletocutis delicata</w:t>
      </w:r>
      <w:r>
        <w:t xml:space="preserve"> (VU)</w:t>
      </w:r>
      <w:r>
        <w:rPr>
          <w:i/>
        </w:rPr>
        <w:t xml:space="preserve"> och Skeletocutis exilis</w:t>
      </w:r>
      <w:r>
        <w:t xml:space="preserve"> (NT). Ullticka är typisk art för </w:t>
      </w:r>
      <w:r>
        <w:rPr>
          <w:i/>
        </w:rPr>
        <w:t xml:space="preserve">9010 Taiga, 9050 Näringsrik granskog </w:t>
      </w:r>
      <w:r>
        <w:t xml:space="preserve">och </w:t>
      </w:r>
      <w:r>
        <w:rPr>
          <w:i/>
        </w:rPr>
        <w:t>9030 Landhöjningsskog</w:t>
      </w:r>
      <w:r>
        <w:t xml:space="preserve"> (SLU Artdatabanken, 2026; Nitare &amp; Skogsstyrelsen, 2019; Miettinen &amp; Niemelä, 2018).</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r>
        <w:t xml:space="preserve"> (SLU Artdatabanken, 2024; Skogsstyrelsen, 2016)</w:t>
      </w:r>
      <w:r>
        <w:rPr>
          <w:i/>
        </w:rPr>
        <w: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(SLU Artdatabanken, 2024; Skogsstyrelsen, 2016).</w:t>
      </w:r>
    </w:p>
    <w:p>
      <w:r>
        <w:t xml:space="preserve">Förutom fridlysning enligt §4 Artskyddsförordningen är tretåig hackspett även förtecknad i EU:s fågeldirektiv bilaga 1. Den är typisk art för </w:t>
      </w:r>
      <w:r>
        <w:rPr>
          <w:i/>
        </w:rPr>
        <w:t xml:space="preserve">9010 Taiga, 9740 Skogsbevuxen myr, 9030 Landhöjningsskog </w:t>
      </w:r>
      <w:r>
        <w:t xml:space="preserve">och </w:t>
      </w:r>
      <w:r>
        <w:rPr>
          <w:i/>
        </w:rPr>
        <w:t>9040 Fjällbjörkskog</w:t>
      </w:r>
      <w:r>
        <w:t xml:space="preserve"> samt ingår i Natura 2000 och är förtecknad i Bernkonventionen bilaga II (strikt skyddade djurarter) (SLU Artdatabanken, 2024; Skogsstyrelsen, 2016).</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Vägledning för hänsyn till fåglar – Tretåig hackspett.</w:t>
      </w:r>
    </w:p>
    <w:p>
      <w:r>
        <w:t xml:space="preserve">SLU Artdatabanken, 2024. </w:t>
      </w:r>
      <w:r>
        <w:rPr>
          <w:i/>
        </w:rPr>
        <w:t xml:space="preserve">Artfaktablad. Naturvård – artfakta. </w:t>
      </w:r>
      <w:r>
        <w:t>SLU Artdatabanken, Uppsala.</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2026-08-20</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