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12988-2021 i Åre kommun</w:t>
      </w:r>
    </w:p>
    <w:p>
      <w:r>
        <w:t>Detta dokument behandlar höga naturvärden i avverkningsanmälan A 12988-2021 i Åre kommun. Denna avverkningsanmälan inkom 2021-03-16 och omfattar 25,9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5 naturvårdsarter hittats: granticka (NT), skrovellav (NT), ullticka (NT), spindelblomster (S, §8) och stuplav (S). Av dessa är 3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757201"/>
            <wp:docPr id="1" name="Picture 1"/>
            <wp:cNvGraphicFramePr>
              <a:graphicFrameLocks noChangeAspect="1"/>
            </wp:cNvGraphicFramePr>
            <a:graphic>
              <a:graphicData uri="http://schemas.openxmlformats.org/drawingml/2006/picture">
                <pic:pic>
                  <pic:nvPicPr>
                    <pic:cNvPr id="0" name="A 12988-2021 karta.png"/>
                    <pic:cNvPicPr/>
                  </pic:nvPicPr>
                  <pic:blipFill>
                    <a:blip r:embed="rId16"/>
                    <a:stretch>
                      <a:fillRect/>
                    </a:stretch>
                  </pic:blipFill>
                  <pic:spPr>
                    <a:xfrm>
                      <a:off x="0" y="0"/>
                      <a:ext cx="5486400" cy="675720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7014860, E 405134 i SWEREF 99 TM.</w:t>
      </w:r>
    </w:p>
    <w:p>
      <w:r>
        <w:rPr>
          <w:b/>
        </w:rPr>
        <w:t>Skrovellav (NT)</w:t>
      </w:r>
      <w:r>
        <w:t xml:space="preserve"> växer på gamla lövträd och på klippor i gamla skogar med hög och jämn luftfuktighet. Slutavverkning av kontinuitetsskog utgör det största hotet och lavens fortsatta förekomst bör säkerställas genom att lokaler med äldre skog skyddas. I områden med mycket hög luftfuktighet kan man på bålen av skrovellav finna en sällsynt parasitsvamp med rödbruna apothecier, skrovellavsknapp </w:t>
      </w:r>
      <w:r>
        <w:rPr>
          <w:i/>
        </w:rPr>
        <w:t>Plectocarpon scrobiculatae</w:t>
      </w:r>
      <w:r>
        <w:t xml:space="preserve"> (EN) (SLU Artdatabanken, 2024; Nitare &amp; Skogsstyrelsen, 2019).</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(SLU Artdatabanken, 2024; Nitare &amp; Skogsstyrelsen, 2019).</w:t>
      </w:r>
    </w:p>
    <w:p>
      <w:pPr>
        <w:pStyle w:val="Heading1"/>
      </w:pPr>
      <w:r>
        <w:t>Fridlysta arter</w:t>
      </w:r>
    </w:p>
    <w:p>
      <w:r>
        <w:t>Följande fridlysta arter har sina livsmiljöer och växtplatser i den avverkningsanmälda skogen: spindelblomster (S, §8).</w:t>
      </w:r>
    </w:p>
    <w:p>
      <w:r>
        <w:rPr>
          <w:b/>
        </w:rPr>
        <w:t>Spindelblomster (§8)</w:t>
      </w:r>
      <w:r>
        <w:t xml:space="preserve"> växer i äldre mossrik granskog eller barrblandskog, men även i fjällbjörkskog. Arten indikerar långvarig trädkontinuitet och hög luftfuktighet och är mycket känslig för uttorkning och markskador. Spindelblomster har i många trakter minskat starkt under senare tid på grund av slutavverkningar och skogsmarksdikning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2025-03-25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