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18 meter från avverkningsanmälan finns fynd av 24 naturvårdsarter, varav 13 är rödlistade, 3 är fridlysta, 14 är typiska (T) och 10 är signalarter (S): grangytterlav (EN), grynlav (EN), elfenbenslav (VU, §8), norsk näverlav (VU), pudrad rosettlav (VU), lavskrika (NT, T, §4), luddfingersvamp (NT), lunglav (NT, T), olivbrun gytterlav (NT, T), skrovellav (NT, T), skuggblåslav (NT, T), vedtrappmossa (NT, T), grynig kolvlav (DD), bårdlav (S, T), gytterlav (S, T), korallblylav (S, T), luddlav (S, T), nordlig fjädermossa (S), platt fjädermossa (S, T), skinnlav (S, T), skogstimmia (S),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olivbrun gytterlav (NT, T), skrovellav (NT, T), skuggblåslav (NT, T), vedtrappmossa (NT, T), bårdlav (S, T), gytterlav (S, T), korallblylav (S, T), luddlav (S, T), platt fjädermossa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