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20124-2023 i Åre kommun</w:t>
      </w:r>
    </w:p>
    <w:p>
      <w:r>
        <w:t>Denna tillsynsbegäran behandlar höga naturvärden i avverkningsanmälan A 20124-2023 i Åre kommun som inkom 2023-05-09 och omfattar 3,4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20124-2023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7001172, E 459900 i SWEREF 99 TM.</w:t>
      </w:r>
    </w:p>
    <w:p>
      <w:r>
        <w:t>I och inom 1 meter från avverkningsanmälan finns fynd av 5 naturvårdsarter, varav 5 är typiska (T) och 4 är signalarter (S): finbräken (S, T), kransrams (S, T), svart trolldruva (S, T), underviol (S, T) och vågig rutlungmossa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Vågig rutlungmossa </w:t>
      </w:r>
      <w:r>
        <w:t xml:space="preserve">växer huvudsakligen på källpåverkad mark och indikerar alltid miljöer med höga naturvärden. Stora förekomster av rutlungmossa och fynd av sporkapslar tyder på en längre tids ostörd hydrologi och att lokalen inte utsatts för kraftig exponering. Vågig rutlungmossa är typisk art för </w:t>
      </w:r>
      <w:r>
        <w:rPr>
          <w:i/>
        </w:rPr>
        <w:t>7160 Källor och källkärr och 9760 Svämädellövskog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finbräken (S, T), kransrams (S, T), svart trolldruva (S, T), underviol (S, T) och vågig rutlungmossa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