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45855-2024 i Åre kommun</w:t>
      </w:r>
    </w:p>
    <w:p>
      <w:r>
        <w:t>Denna tillsynsbegäran behandlar höga naturvärden i avverkningsanmälan A 45855-2024 i Åre kommun som inkom 2024-10-15 och omfattar 17,2 ha.</w:t>
      </w:r>
    </w:p>
    <w:p>
      <w:pPr>
        <w:pStyle w:val="Caption"/>
      </w:pPr>
      <w:r>
        <w:drawing>
          <wp:inline xmlns:a="http://schemas.openxmlformats.org/drawingml/2006/main" xmlns:pic="http://schemas.openxmlformats.org/drawingml/2006/picture">
            <wp:extent cx="5164912" cy="5724000"/>
            <wp:docPr id="1" name="Picture 1"/>
            <wp:cNvGraphicFramePr>
              <a:graphicFrameLocks noChangeAspect="1"/>
            </wp:cNvGraphicFramePr>
            <a:graphic>
              <a:graphicData uri="http://schemas.openxmlformats.org/drawingml/2006/picture">
                <pic:pic>
                  <pic:nvPicPr>
                    <pic:cNvPr id="0" name="A 45855-2024 karta.png"/>
                    <pic:cNvPicPr/>
                  </pic:nvPicPr>
                  <pic:blipFill>
                    <a:blip r:embed="rId16"/>
                    <a:stretch>
                      <a:fillRect/>
                    </a:stretch>
                  </pic:blipFill>
                  <pic:spPr>
                    <a:xfrm>
                      <a:off x="0" y="0"/>
                      <a:ext cx="5164912"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7062111, E 394564 i SWEREF 99 TM.</w:t>
      </w:r>
    </w:p>
    <w:p>
      <w:r>
        <w:t>I och inom 25 meter från avverkningsanmälan finns fynd av 28 naturvårdsarter, varav 13 är rödlistade, 7 är fridlysta, 16 är typiska (T) och 12 är signalarter (S): garnlav (VU, T), mörk kådsvartspik (VU), norsk näverlav (VU), violett guldvinge (VU, §4a), gammelgransskål (NT, T), kavernularia (NT), liten svartspik (NT), nordlig nållav (NT), rödbrun blekspik (NT, T), skrovellav (NT, T), talltita (NT, §4), tretåig hackspett (NT, T, §4), vitgrynig nållav (NT), barkkornlav (S, T), kambräken (S, T), luddlav (S, T), mörk husmossa (S, T), rostfläck (S, T), spindelblomster (S, T, §8), stuplav (S, T), trubbfjädermossa (S, T), trådticka (S, T), tvåblad (S, §8), vedticka (S, T), västlig hakmossa (S), brudborste (T), brudsporre (§8)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Mörk kådsvartspik (VU) </w:t>
      </w:r>
      <w:r>
        <w:t>växer på gammal grankåda i halvöppna barrskogar av naturskogskaraktär med hög och jämn luftfuktighet. Skogsbruksåtgärder som kan påverka markvattennivån och luftfuktigheten negativt på växtplatserna utgör hot. Nybildning av för arten lämpliga substrat i produktionsskogar är sannolikt mycket begränsad och på lång sikt utgör avverkningar av variationsrika och olikåldriga naturskogar med hög och jämn luftfuktighet ett allvarligt hot. Då populationen på varje lokal är liten innebär det en risk för att arten ska försvinna från en enskild lokal p.g.a. slumpfaktorer. Lokaler med mörk kådsvartspik bör undantas från skogsbruksåtgärder (SLU Artdatabanken, 2026).</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Kavernularia (NT)</w:t>
      </w:r>
      <w:r>
        <w:t xml:space="preserve"> är en rikligt förgrenad bladlav, som på den svarta undersidan har rikligt med karaktäristiska små håligheter, s. k. cavernulae. Den växer på de nedre tunna grenarna av gran i halvöppna gamla granskogar i områden av Jämtland och Åsele Lappmark med ett suboceaniskt klimat. Avverkning av kontinuitetsskogar med hög och jämn luftfuktighet är ett hot. Flera områden med kavernularia måste skyddas (SLU Artdatabanken, 2024).</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Nordlig nållav (NT)</w:t>
      </w:r>
      <w:r>
        <w:t xml:space="preserve"> signalerar alltid miljöer med höga naturvärden. På lokalerna förekommer nästan alltid andra rödlistade eller ovanliga arter knutna till gamla skogar. Alla skogsskötselåtgärder på eller i omedelbar närhet av lokalerna utgör ett hot. Några av lavens rikaste förekomster bör skyddas (SLU Artdatabanken, 2024; Nitare &amp; Skogsstyrelsen, 2019).</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Trubbfjädermossa</w:t>
      </w:r>
      <w:r>
        <w:t xml:space="preserve"> signalerar vanligtvis skog med höga naturvärden och den växer på något skuggade block eller trädbaser, oftast nära marken, eller på jord intill vattendrag. Den trivs bäst i ädellövskog och förekommer ofta tillsammans med baronmossor </w:t>
      </w:r>
      <w:r>
        <w:rPr>
          <w:i/>
        </w:rPr>
        <w:t>Anomodon</w:t>
      </w:r>
      <w:r>
        <w:t xml:space="preserve"> och fjädermossor</w:t>
      </w:r>
      <w:r>
        <w:rPr>
          <w:i/>
        </w:rPr>
        <w:t xml:space="preserve"> Neckera</w:t>
      </w:r>
      <w:r>
        <w:t xml:space="preserve">. Trubbfjädermossa är typisk art för </w:t>
      </w:r>
      <w:r>
        <w:rPr>
          <w:i/>
        </w:rPr>
        <w:t>9020 Nordlig ädellövskog,</w:t>
      </w:r>
      <w:r>
        <w:t xml:space="preserve"> </w:t>
      </w:r>
      <w:r>
        <w:rPr>
          <w:i/>
        </w:rPr>
        <w:t xml:space="preserve">9080 Lövsumpskog, 9750 Svämlövskog, 9110 Näringsfattig bokskog, 9130 Näringsrik bokskog </w:t>
      </w:r>
      <w:r>
        <w:t xml:space="preserve">och </w:t>
      </w:r>
      <w:r>
        <w:rPr>
          <w:i/>
        </w:rPr>
        <w:t xml:space="preserve">9760 Svämädellövskog </w:t>
      </w:r>
      <w:r>
        <w:t>(Nitare &amp; Skogsstyrelsen, 2019;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gammelgransskål (NT, T), rödbrun blekspik (NT, T), skrovellav (NT, T), tretåig hackspett (NT, T, §4), barkkornlav (S, T), kambräken (S, T), luddlav (S, T), mörk husmossa (S, T), rostfläck (S, T), spindelblomster (S, T, §8), stuplav (S, T), trubbfjädermossa (S, T), trådticka (S, T), vedticka (S, T) och brudborste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