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43927-2024 i Åre kommun</w:t>
      </w:r>
    </w:p>
    <w:p>
      <w:r>
        <w:t>Detta dokument behandlar höga naturvärden i avverkningsanmälan A 43927-2024 i Åre kommun. Denna avverkningsanmälan inkom 2024-10-07 00:00:00 och omfattar 14,8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garnlav (NT), granticka (NT), harticka (NT), lunglav (NT), rödbrun blekspik (NT), skrovellav (NT), vitgrynig nållav (NT), gytterlav (S), kransrams (S), källpraktmossa (S), skogshakmossa (S), spindelblomster (S, §8), stuplav (S) och västlig hakmossa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66552"/>
            <wp:docPr id="1" name="Picture 1"/>
            <wp:cNvGraphicFramePr>
              <a:graphicFrameLocks noChangeAspect="1"/>
            </wp:cNvGraphicFramePr>
            <a:graphic>
              <a:graphicData uri="http://schemas.openxmlformats.org/drawingml/2006/picture">
                <pic:pic>
                  <pic:nvPicPr>
                    <pic:cNvPr id="0" name="A 43927-2024 karta.png"/>
                    <pic:cNvPicPr/>
                  </pic:nvPicPr>
                  <pic:blipFill>
                    <a:blip r:embed="rId16"/>
                    <a:stretch>
                      <a:fillRect/>
                    </a:stretch>
                  </pic:blipFill>
                  <pic:spPr>
                    <a:xfrm>
                      <a:off x="0" y="0"/>
                      <a:ext cx="5486400" cy="7566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7084021, E 399187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Kransrams</w:t>
      </w:r>
      <w:r>
        <w:t xml:space="preserve"> är typisk art för </w:t>
      </w:r>
      <w:r>
        <w:rPr>
          <w:i/>
        </w:rPr>
        <w:t xml:space="preserve">9020 Nordlig ädellövskog </w:t>
      </w:r>
      <w:r>
        <w:t>(SLU Artdatabanken, 2025).</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och </w:t>
      </w:r>
      <w:r>
        <w:rPr>
          <w:i/>
        </w:rPr>
        <w:t>Catillaria lobariicola</w:t>
      </w:r>
      <w:r>
        <w:t xml:space="preserve"> (VU).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två sällsynta lavparasiter, </w:t>
      </w:r>
      <w:r>
        <w:rPr>
          <w:i/>
        </w:rPr>
        <w:t>Protounguicularia nephromatis</w:t>
      </w:r>
      <w:r>
        <w:t xml:space="preserve"> (VU) och </w:t>
      </w:r>
      <w:r>
        <w:rPr>
          <w:i/>
        </w:rPr>
        <w:t>Refractohilum galligenum</w:t>
      </w:r>
      <w:r>
        <w:t xml:space="preserve"> (NT), kan också påträffas på stuplav. Stuplav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