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32865-2024 i Åre kommun</w:t>
      </w:r>
    </w:p>
    <w:p>
      <w:r>
        <w:t>Detta dokument behandlar höga naturvärden i avverkningsanmälan A 32865-2024 i Åre kommun. Denna avverkningsanmälan inkom 2024-08-12 00:00:00 och omfattar 29,5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kejsarskivling (VU), norsk näverlav (VU), doftskinn (NT), garnlav (NT), granticka (NT), liten svartspik (NT), lunglav (NT), skrovellav (NT), tretåig hackspett (NT, §4), vitgrynig nållav (NT), diskvaxskivling (S), mörk husmossa (S), strimspindling (S), svavelriska (S) och trådticka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32865-2024 karta.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7047141, E 395874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Kejsarskivling (VU)</w:t>
      </w:r>
      <w:r>
        <w:t xml:space="preserve"> bildar mykorrhiza med tall, ibland även med gran och växer huvudsakligen på kalkrik mark i barrskog, framförallt mossig gammal granskog med inslag av tall. Arten är placerad högst upp i Skogsstyrelsens värdepyramid för bedömning av skog med höga naturvärden och hotas av slutavverkning, markberedning och en generell minskning av andelen gamla träd i våra skogar. Kejsarskivlingen är globalt rödlistad som nära hotad (NT) vilket innebär att Sverige har ett internationellt ansvar för arten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