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49534-2024 i Åre kommun</w:t>
      </w:r>
    </w:p>
    <w:p>
      <w:r>
        <w:t>Detta dokument behandlar höga naturvärden i avverkningsanmälan A 49534-2024 i Åre kommun. Denna avverkningsanmälan inkom 2024-10-31 10:11:58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almlav (VU), fjällig knopplav (VU), smalskaftslav (VU), barkporlav (NT), gammelgransskål (NT), garnlav (NT), grynig filtlav (NT), liten svartspik (NT), skrovellav (NT), tretåig hackspett (NT, §4), vitgrynig nållav (NT), gytterlav (S), platt fjädermossa (S), skinnlav (S), skogstimmia (S) och stuplav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1007"/>
            <wp:docPr id="1" name="Picture 1"/>
            <wp:cNvGraphicFramePr>
              <a:graphicFrameLocks noChangeAspect="1"/>
            </wp:cNvGraphicFramePr>
            <a:graphic>
              <a:graphicData uri="http://schemas.openxmlformats.org/drawingml/2006/picture">
                <pic:pic>
                  <pic:nvPicPr>
                    <pic:cNvPr id="0" name="A 49534-2024 karta.png"/>
                    <pic:cNvPicPr/>
                  </pic:nvPicPr>
                  <pic:blipFill>
                    <a:blip r:embed="rId16"/>
                    <a:stretch>
                      <a:fillRect/>
                    </a:stretch>
                  </pic:blipFill>
                  <pic:spPr>
                    <a:xfrm>
                      <a:off x="0" y="0"/>
                      <a:ext cx="5486400" cy="4961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7039091, E 416127 i SWEREF 99 TM.</w:t>
      </w:r>
    </w:p>
    <w:p>
      <w:r>
        <w:rPr>
          <w:b/>
        </w:rPr>
        <w:t>Almlav (VU)</w:t>
      </w:r>
      <w:r>
        <w:t xml:space="preserve"> förekommer främst i södra och mellersta Sverige men har även några enstaka förekomster upp till Åsele Lappmark. Växer på gamla ädellövträd (till mer än 80% på ask och alm) eller i norra Sverige på sydvända klippväggar av dolomit eller kalksten. Almlav har tillsammans med lunglav lyfts fram som en av de mest användbara indikatorerna på skyddsvärd ädellövskog. Den visar på såväl hela biotoper som enskilda träd med höga naturvärden (SLU Artdatabanken, 2024; Nitare &amp; Skogsstyrelsen, 2019).</w:t>
      </w:r>
    </w:p>
    <w:p>
      <w:r>
        <w:rPr>
          <w:b/>
        </w:rPr>
        <w:t>Barkporlav (NT)</w:t>
      </w:r>
      <w:r>
        <w:t xml:space="preserve"> växer främst på äldre lövträd i lövrika barrskogar av naturskogskaraktär med hög luftfuktighet. Flera av växtplatserna är vid större vattenfall, där forsdimma ger hög och jämn luftfuktighet. Det huvudsakliga hotet mot arten är skogsavverkningar och det finns inga uppgifter om att arten överlever på lövträd som har ställts kvar efter slutavverkning. Kända lokaler bör skyddas (SLU Artdatabanken, 2024).</w:t>
      </w:r>
    </w:p>
    <w:p>
      <w:r>
        <w:rPr>
          <w:b/>
        </w:rPr>
        <w:t>Fjällig knopplav (VU)</w:t>
      </w:r>
      <w:r>
        <w:t xml:space="preserve"> växer på gamla granar i grandominerade skogar med hög och jämn luftfuktighet. Avverkning av kontinuitetsskog i norra Sverige är ett hot. Alla växtplatser måste skyddas (SLU Artdatabanken, 2024).</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Grynig filtlav (NT)</w:t>
      </w:r>
      <w:r>
        <w:t xml:space="preserve"> tillhör en grupp fuktighetskrävande, storväxta bladlavar där också bl.a. lunglav (NT) ingår. Den växer framför allt på gamla mossiga stammar av lövträd, särskilt ädellövträd samt asp och sälg, i kulturmarker, lövskogar, halvöppna och lövrika barrblandskogar i områden med hög luftfuktighet. Arten indikerar långvarig förekomst av gamla lövträd och ett mikroklimat med konstant hög och jämn luftfuktighet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