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56368-2022 i Åre kommun</w:t>
      </w:r>
    </w:p>
    <w:p>
      <w:r>
        <w:t>Detta dokument behandlar höga naturvärden i avverkningsanmälan A 56368-2022 i Åre kommun. Denna avverkningsanmälan inkom 2022-11-22 00:00:00 och omfattar 28,3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skuggkraterlav (VU), brunpudrad nållav (NT), garnlav (NT), granticka (NT), gränsticka (NT), rödbrun blekspik (NT), tretåig hackspett (NT, §4), vitgrynig nållav (NT), gytterlav (S), kambräken (S), kransrams (S), spindelblomster (S, §8), vedticka (S) och västlig hakmossa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56368-2022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7079007, E 397005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Skuggkraterlav (VU)</w:t>
      </w:r>
      <w:r>
        <w:t xml:space="preserve"> växer synnerligen skuggat i branta gamla granskogar och raviner med mycket hög luftfuktighet. Arten överlever inte en slutavverkning (inklusive hänsyn) och den finns idag enbart kvar i kontinuitetsskogar. Samtliga lokaler måste skyddas och lämnas för fri utveckling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