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58223-2021 i Åre kommun</w:t>
      </w:r>
    </w:p>
    <w:p>
      <w:r>
        <w:t>Detta dokument behandlar höga naturvärden i avverkningsanmälan A 58223-2021 i Åre kommun. Denna avverkningsanmälan inkom 2021-10-18 00:00:00 och omfattar 34,8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Cliostomum piceicola (VU), liten sotlav (VU), norsk näverlav (VU), brunpudrad nållav (NT), doftskinn (NT), garnlav (NT), granticka (NT), kavernularia (NT), rödbrun blekspik (NT), skorpgelélav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8223-2021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7083438, E 407135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i/>
        </w:rPr>
        <w:t>Cliostomum piceicola</w:t>
      </w:r>
      <w:r>
        <w:rPr>
          <w:b/>
        </w:rPr>
        <w:t xml:space="preserve"> (VU) </w:t>
      </w:r>
      <w:r>
        <w:t>är en nyligen beskriven dropplav (2017) som huvudsakligen växer på gamla senvuxna granar i kontinuitetsskogar med hög luftfuktighet i Skandinavien och Ryssland. Avverkning av kontinuitetsskog är ett hot (SLU Artdatabanken, 2024; Holien &amp; Tønsberg, 2017).</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