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34547-2025 i Åre kommun</w:t>
      </w:r>
    </w:p>
    <w:p>
      <w:r>
        <w:t>Detta dokument behandlar höga naturvärden i avverkningsanmälan A 34547-2025 i Åre kommun. Denna avverkningsanmälan inkom 2025-07-09 13:24:07 och omfattar 36,5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35 naturvårdsarter hittats: blackticka (VU), grantickeporing (VU), norsk näverlav (VU), ostticka (VU), rynkskinn (VU), skuggnål (VU), sprickporing (VU), doftskinn (NT), gammelgransskål (NT), garnlav (NT), granticka (NT), gränsticka (NT), harticka (NT), kavernularia (NT), Leptoporus mollis (NT), lunglav (NT), mjölig dropplav (NT), rosa skärelav (NT), rosenticka (NT), skrovellav (NT), spillkråka (NT, §4), stjärntagging (NT), tretåig hackspett (NT, §4), ullticka (NT), vitgrynig nållav (NT), barkkornlav (S), bårdlav (S), finbräken (S), kransrams (S), skuggblåslav (S), stuplav (S), svart trolldruva (S), trådticka (S), vedticka (S) och sparvuggla (§4).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93402"/>
            <wp:docPr id="1" name="Picture 1"/>
            <wp:cNvGraphicFramePr>
              <a:graphicFrameLocks noChangeAspect="1"/>
            </wp:cNvGraphicFramePr>
            <a:graphic>
              <a:graphicData uri="http://schemas.openxmlformats.org/drawingml/2006/picture">
                <pic:pic>
                  <pic:nvPicPr>
                    <pic:cNvPr id="0" name="A 34547-2025 karta.png"/>
                    <pic:cNvPicPr/>
                  </pic:nvPicPr>
                  <pic:blipFill>
                    <a:blip r:embed="rId16"/>
                    <a:stretch>
                      <a:fillRect/>
                    </a:stretch>
                  </pic:blipFill>
                  <pic:spPr>
                    <a:xfrm>
                      <a:off x="0" y="0"/>
                      <a:ext cx="5486400" cy="4193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7010087, E 444013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tretåig hackspett (NT, §4) och sparvuggla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Sparvuggla (§4)</w:t>
      </w:r>
      <w:r>
        <w:t>,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Särskilt avverkning av lövträdsrika kantzoner och igenplantering av gamla inägor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Sparvuggla – ekologi samt krav på livsmiljön</w:t>
      </w:r>
    </w:p>
    <w:p>
      <w:r>
        <w:t>Sparvuggla (§4), som omfattas av fågeldirektivets bilaga 1, häckar i naturskog samt i klassisk bondeskog och förekommer främst i större skogsområden som domineras av barrblandskog med stort inslag av asp, björk och andra lövträd. Den behöver relativt stora skogsområden och saknas helt i mindre skogar och isolerade dungar. Reviren är i storleksordningen upp till 200 hektar. Sparvugglan missgynnas av överföring av variationsrika bondeskogar till ensartade produktionsskogar – särskilt avverkning av lövträdsrika kantzoner och igenplantering av gamla inägor (Skogsstyrelsen, 2016).</w:t>
      </w:r>
    </w:p>
    <w:p>
      <w:pPr>
        <w:pStyle w:val="Heading2"/>
      </w:pPr>
      <w:r>
        <w:t>Referenser – sparvuggla</w:t>
      </w:r>
    </w:p>
    <w:p>
      <w:r>
        <w:t xml:space="preserve">Skogsstyrelsen, 2016. </w:t>
      </w:r>
      <w:r>
        <w:rPr>
          <w:i/>
        </w:rPr>
        <w:t>Vägledning för hänsyn till sparvuggla.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2025-10-16</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