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44517-2023 i Åre kommun</w:t>
      </w:r>
    </w:p>
    <w:p>
      <w:r>
        <w:t>Detta dokument behandlar höga naturvärden i avverkningsanmälan A 44517-2023 i Åre kommun. Denna avverkningsanmälan inkom 2023-09-15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29 naturvårdsarter hittats: brittisk torsklav (RE), amerikansk sönderfallslav (VU), brun skärelav (VU), liten blekspik (VU), norsk näverlav (VU), skuggkraterlav (VU), skuggnål (VU), tajgaskinn (VU), västlig fingerfliksmossa (VU), blå stjärnmossa (NT), garnlav (NT), granpensellav (NT), harticka (NT), kavernularia (NT), kortskaftad ärgspik (NT), liten svartspik (NT), lunglav (NT), nordlig nållav (NT), rödbrun blekspik (NT), skrovellav (NT), vedtrappmossa (NT), vitgrynig nållav (NT), gulnål (S), luddlav (S), rostfläck (S), skogshakmossa (S), skuggblåslav (S), skuggmossa (S) och trind spretmossa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57255"/>
            <wp:docPr id="1" name="Picture 1"/>
            <wp:cNvGraphicFramePr>
              <a:graphicFrameLocks noChangeAspect="1"/>
            </wp:cNvGraphicFramePr>
            <a:graphic>
              <a:graphicData uri="http://schemas.openxmlformats.org/drawingml/2006/picture">
                <pic:pic>
                  <pic:nvPicPr>
                    <pic:cNvPr id="0" name="A 44517-2023 karta.png"/>
                    <pic:cNvPicPr/>
                  </pic:nvPicPr>
                  <pic:blipFill>
                    <a:blip r:embed="rId16"/>
                    <a:stretch>
                      <a:fillRect/>
                    </a:stretch>
                  </pic:blipFill>
                  <pic:spPr>
                    <a:xfrm>
                      <a:off x="0" y="0"/>
                      <a:ext cx="5486400" cy="195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7061643, E 390141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 xml:space="preserve">Skuggmossa </w:t>
      </w:r>
      <w:r>
        <w:t>förekommer främst i skuggiga och fuktiga granskogar med hög och jämn luftfuktighet och signalerar alltid skog med höga naturvärden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Västlig fingerfliksmossa (VU) </w:t>
      </w:r>
      <w:r>
        <w:t>växer på humus på och i sprickor av sura klippor och block i rasbranter och kanjondalar med hög luftfuktighet.</w:t>
      </w:r>
      <w:r>
        <w:rPr>
          <w:b/>
        </w:rPr>
        <w:t xml:space="preserve"> </w:t>
      </w:r>
      <w:r>
        <w:t>Arten är mycket känslig för uttorkning och skogsbruk och andra förändringar av lokalklimatet på lokalerna innebär allvarliga hot. Samtliga kända förekomster måste ges ett ändamålsenligt skydd, liksom våtmarker som ligger uppströms lokaler där arten förekommer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