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32037-2025 i Åre kommun</w:t>
      </w:r>
    </w:p>
    <w:p>
      <w:r>
        <w:t>Detta klagomål behandlar höga naturvärden i avverkningsanmälan A 32037-2025 i Åre kommun som inkom 2025-06-27 och omfattar 16,6 ha.</w:t>
      </w:r>
    </w:p>
    <w:p>
      <w:pPr>
        <w:pStyle w:val="Caption"/>
      </w:pPr>
      <w:r>
        <w:drawing>
          <wp:inline xmlns:a="http://schemas.openxmlformats.org/drawingml/2006/main" xmlns:pic="http://schemas.openxmlformats.org/drawingml/2006/picture">
            <wp:extent cx="5486400" cy="4441008"/>
            <wp:docPr id="1" name="Picture 1"/>
            <wp:cNvGraphicFramePr>
              <a:graphicFrameLocks noChangeAspect="1"/>
            </wp:cNvGraphicFramePr>
            <a:graphic>
              <a:graphicData uri="http://schemas.openxmlformats.org/drawingml/2006/picture">
                <pic:pic>
                  <pic:nvPicPr>
                    <pic:cNvPr id="0" name="A 32037-2025 karta.png"/>
                    <pic:cNvPicPr/>
                  </pic:nvPicPr>
                  <pic:blipFill>
                    <a:blip r:embed="rId16"/>
                    <a:stretch>
                      <a:fillRect/>
                    </a:stretch>
                  </pic:blipFill>
                  <pic:spPr>
                    <a:xfrm>
                      <a:off x="0" y="0"/>
                      <a:ext cx="5486400" cy="444100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6989999, E 460421 i SWEREF 99 TM.</w:t>
      </w:r>
    </w:p>
    <w:p>
      <w:r>
        <w:t>I och inom 25 meter från avverkningsanmälan finns fynd av 15 naturvårdsarter, varav 7 är rödlistade, 8 är fridlysta, 9 är typiska (T) och 3 är signalarter (S): garnlav (VU, T), knärot (VU, T, §8), gammelgransskål (NT, T), lunglav (NT, T), skrovellav (NT, T), ullticka (NT, T), vitgrynig nållav (NT), spindelblomster (S, T, §8), stuplav (S, T), tvåblad (S, §8), tjäder (T, §4), vanlig groda (§6), fläcknycklar (§8), ängsnycklar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3.96 ha med buffertzonerna och får av detta skäl inte avverkas.</w:t>
      </w:r>
    </w:p>
    <w:p>
      <w:pPr>
        <w:pStyle w:val="Caption"/>
      </w:pPr>
      <w:r>
        <w:drawing>
          <wp:inline xmlns:a="http://schemas.openxmlformats.org/drawingml/2006/main" xmlns:pic="http://schemas.openxmlformats.org/drawingml/2006/picture">
            <wp:extent cx="5486400" cy="5530109"/>
            <wp:docPr id="2" name="Picture 2"/>
            <wp:cNvGraphicFramePr>
              <a:graphicFrameLocks noChangeAspect="1"/>
            </wp:cNvGraphicFramePr>
            <a:graphic>
              <a:graphicData uri="http://schemas.openxmlformats.org/drawingml/2006/picture">
                <pic:pic>
                  <pic:nvPicPr>
                    <pic:cNvPr id="0" name="A 32037-2025 karta knärot.png"/>
                    <pic:cNvPicPr/>
                  </pic:nvPicPr>
                  <pic:blipFill>
                    <a:blip r:embed="rId17"/>
                    <a:stretch>
                      <a:fillRect/>
                    </a:stretch>
                  </pic:blipFill>
                  <pic:spPr>
                    <a:xfrm>
                      <a:off x="0" y="0"/>
                      <a:ext cx="5486400" cy="55301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6989999, E 460421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