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16081-2026 i Åre kommun</w:t>
      </w:r>
    </w:p>
    <w:p>
      <w:r>
        <w:t>Detta klagomål behandlar höga naturvärden i avverkningsanmälan A 16081-2026 i Åre kommun som inkom 2026-03-27 och omfattar 76,8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6081-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7045516, E 368598 i SWEREF 99 TM.</w:t>
      </w:r>
    </w:p>
    <w:p>
      <w:r>
        <w:t>I och inom 18 meter från avverkningsanmälan finns fynd av 20 naturvårdsarter, varav 16 är rödlistade, 9 är typiska (T) och 4 är signalarter (S): garnlav (VU, T), lidvitmossa (VU), liten sotlav (VU, T), norsk näverlav (VU), skuggnål (VU), doftskinn (NT, T), dofttaggsvamp (NT, T), gammelgransskål (NT, T), grå blåbärsfältmätare (NT), kavernularia (NT), knottrig blåslav (NT, T), liten svartspik (NT), rutspindling (NT), rödbrun blekspik (NT, T), skrovellav (NT, T), vitgrynig nållav (NT), granriska (S), kärrkammossa (S, T), purpurmylia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Lidvitmossa (VU)</w:t>
      </w:r>
      <w:r>
        <w:t xml:space="preserve"> är en sällsynt vitmossa som växer i granskogssluttningar i områden med hög luftfuktighet. Då arten växer på lokaler med ett fuktigt mikroklimat hotas den av avverkning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