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43927-2024 i Åre kommun</w:t>
      </w:r>
    </w:p>
    <w:p>
      <w:r>
        <w:t>Denna tillsynsbegäran behandlar höga naturvärden i avverkningsanmälan A 43927-2024 i Åre kommun som inkom 2024-10-07 och omfattar 14,8 ha.</w:t>
      </w:r>
    </w:p>
    <w:p>
      <w:pPr>
        <w:pStyle w:val="Caption"/>
      </w:pPr>
      <w:r>
        <w:drawing>
          <wp:inline xmlns:a="http://schemas.openxmlformats.org/drawingml/2006/main" xmlns:pic="http://schemas.openxmlformats.org/drawingml/2006/picture">
            <wp:extent cx="4370697" cy="5724000"/>
            <wp:docPr id="1" name="Picture 1"/>
            <wp:cNvGraphicFramePr>
              <a:graphicFrameLocks noChangeAspect="1"/>
            </wp:cNvGraphicFramePr>
            <a:graphic>
              <a:graphicData uri="http://schemas.openxmlformats.org/drawingml/2006/picture">
                <pic:pic>
                  <pic:nvPicPr>
                    <pic:cNvPr id="0" name="A 43927-2024 karta.png"/>
                    <pic:cNvPicPr/>
                  </pic:nvPicPr>
                  <pic:blipFill>
                    <a:blip r:embed="rId16"/>
                    <a:stretch>
                      <a:fillRect/>
                    </a:stretch>
                  </pic:blipFill>
                  <pic:spPr>
                    <a:xfrm>
                      <a:off x="0" y="0"/>
                      <a:ext cx="43706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7084021, E 399187 i SWEREF 99 TM.</w:t>
      </w:r>
    </w:p>
    <w:p>
      <w:r>
        <w:t>I avverkningsanmälan finns fynd av 13 naturvårdsarter, varav 6 är rödlistade, 1 är fridlyst, 11 är typiska (T) och 7 är signalarter (S): garnlav (VU, T), harticka (NT, T), lunglav (NT, T), rödbrun blekspik (NT, T), skrovellav (NT, T), vitgrynig nållav (NT), gytterlav (S, T), kransrams (S, T), källpraktmossa (S, T), skogshakmossa (S, T), spindelblomster (S, T, §8), stuplav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rödbrun blekspik (NT, T), skrovellav (NT, T), gytterlav (S, T), kransrams (S, T), källpraktmossa (S, T), skogshakmossa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