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47880-2025 i Åre kommun</w:t>
      </w:r>
    </w:p>
    <w:p>
      <w:r>
        <w:t>Denna tillsynsbegäran behandlar höga naturvärden i avverkningsanmälan A 47880-2025 i Åre kommun som inkom 2025-10-02 och omfattar 25,8 ha.</w:t>
      </w:r>
    </w:p>
    <w:p>
      <w:pPr>
        <w:pStyle w:val="Caption"/>
      </w:pPr>
      <w:r>
        <w:drawing>
          <wp:inline xmlns:a="http://schemas.openxmlformats.org/drawingml/2006/main" xmlns:pic="http://schemas.openxmlformats.org/drawingml/2006/picture">
            <wp:extent cx="5026803" cy="5724000"/>
            <wp:docPr id="1" name="Picture 1"/>
            <wp:cNvGraphicFramePr>
              <a:graphicFrameLocks noChangeAspect="1"/>
            </wp:cNvGraphicFramePr>
            <a:graphic>
              <a:graphicData uri="http://schemas.openxmlformats.org/drawingml/2006/picture">
                <pic:pic>
                  <pic:nvPicPr>
                    <pic:cNvPr id="0" name="A 47880-2025 karta.png"/>
                    <pic:cNvPicPr/>
                  </pic:nvPicPr>
                  <pic:blipFill>
                    <a:blip r:embed="rId16"/>
                    <a:stretch>
                      <a:fillRect/>
                    </a:stretch>
                  </pic:blipFill>
                  <pic:spPr>
                    <a:xfrm>
                      <a:off x="0" y="0"/>
                      <a:ext cx="5026803" cy="5724000"/>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och har ett svart streck som visar fyndplatsens exakta position. Kartans mittpunktskoordinat är N 7049967, E 425634 i SWEREF 99 TM.</w:t>
      </w:r>
    </w:p>
    <w:p>
      <w:r>
        <w:t>I och inom 21 meter från avverkningsanmälan finns fynd av 46 naturvårdsarter, varav 30 är rödlistade, 5 är fridlysta, 28 är typiska (T) och 14 är signalarter (S): amerikansk sönderfallslav (VU), Cliostomum piceicola (VU), garnlav (VU, T), grantickeporing (VU), gränsticka (VU, T), liten sotlav (VU, T), mjölig dropplav (VU), norsk näverlav (VU), skuggnål (VU), vitskaftad svartspik (VU, T), brun svartspik (NT), brunpudrad nållav (NT, T), doftskinn (NT, T), gammelgransskål (NT, T), harticka (NT, T), kavernularia (NT), lavskrika (NT, T, §4), liten svartspik (NT), lunglav (NT, T), nordlig nållav (NT), rödbrun blekspik (NT, T), skrovellav (NT, T), talltita (NT, §4), tretåig hackspett (NT, T, §4), ullticka (NT, T), vedflikmossa (NT), vedtrappmossa (NT, T), vitgrynig nållav (NT), Miriquidica majae (DD), Protoparmelia ochrococca (DD), barkkornlav (S, T), gulnål (S, T), källmossa (S), källpraktmossa (S, T), kärrkammossa (S, T), mörk husmossa (S, T), norrlandslav (S, T), rostfläck (S, T), skogshakmossa (S, T), stuplav (S, T), svavelriska (S), trådfräken (S), trådticka (S, T), vedticka (S, T), spillkråka (T, §4) och tallbit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Amerikansk sönderfallslav (VU) </w:t>
      </w:r>
      <w:r>
        <w:t>är en synnerligen ovanlig lav som växer på gamla sälgar och granar i naturskog med mycket hög och jämn luftfuktighet. Avverkning av kontinuitetsskog samt ändringar av lokalklimatet som medför en minskning av luftfuktigheten hotar arten. Områden med amerikansk sönderfallslav måste skyddas (SLU Artdatabanken, 2024).</w:t>
      </w:r>
    </w:p>
    <w:p>
      <w:r>
        <w:rPr>
          <w:b/>
          <w:i/>
        </w:rPr>
        <w:t>Cliostomum piceicola</w:t>
      </w:r>
      <w:r>
        <w:rPr>
          <w:b/>
        </w:rPr>
        <w:t xml:space="preserve"> (VU) </w:t>
      </w:r>
      <w:r>
        <w:t>är en nyligen beskriven dropplav (2017) som huvudsakligen växer på gamla senvuxna granar i kontinuitetsskogar med hög luftfuktighet i Skandinavien och Ryssland. Avverkning av kontinuitetsskog är ett hot (SLU Artdatabanken, 2024; Holien &amp; Tønsberg, 2017).</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Grantickeporing (VU)</w:t>
      </w:r>
      <w:r>
        <w:t xml:space="preserve"> växer på murken ved och döda fruktkroppar av granticka och gränsticka (VU). Den förekommer i naturskogsliknade granskogar, gärna i fuktiga miljöer vid källbäckar och liknande. Avverkning av naturskogslika miljöer och av grova granar där grantickeporing förekommer är ett direkt hot mot artens fortlevnad. Gamla granskogar som hyser arten undantas helt från skogsbruk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Liten sotlav (VU)</w:t>
      </w:r>
      <w:r>
        <w:t xml:space="preserve"> förekommer i gamla brandrefugiala boreala granskogar där den oftast påträffas på grovbarkiga, senvuxna, mycket gamla granar. Arten är en av de mest krävande arterna i fuktig grannaturskog och är placerad högst upp i Skogsstyrelsens värdepyramid för bedömning av skog med höga naturvärden. Samtliga förekomster bör skyddas. Liten sotlav är typisk art för </w:t>
      </w:r>
      <w:r>
        <w:rPr>
          <w:i/>
        </w:rPr>
        <w:t>9010 Taiga</w:t>
      </w:r>
      <w:r>
        <w:t xml:space="preserve"> (SLU Artdatabanken, 2024; Nitare &amp; Skogsstyrelsen, 2019).</w:t>
      </w:r>
    </w:p>
    <w:p>
      <w:r>
        <w:rPr>
          <w:b/>
        </w:rPr>
        <w:t>Mjölig dropplav (VU)</w:t>
      </w:r>
      <w:r>
        <w:t xml:space="preserve"> växer på gamla granar i boreala granskogar med lång trädkontinuitet och hög luftfuktighet. Avverkning liksom även kraftig utglesning av skog på eller i omedelbar närhet av lokalerna utgör ett hot. Bördiga sumpgranskogar med hög och jämn luftfuktighet bör inte avverkas (SLU Artdatabanken, 2026).</w:t>
      </w:r>
    </w:p>
    <w:p>
      <w:r>
        <w:rPr>
          <w:b/>
        </w:rPr>
        <w:t>Norsk näverlav (VU)</w:t>
      </w:r>
      <w:r>
        <w:t>, rödlistad som sårbar, är en suboceanisk art och påträffas bara i områden med hög och jämn luftfuktighet. Den växer i fuktiga granskogar, främst på stammar eller grenar av äldre björkar och granar. Arten är placerad i toppen av Skogsstyrelsens värdepyramid för bedömning av skog med höga naturvärden och försvinner eller missgynnas starkt vid all form av avverkning på eller i anslutning till lokalerna. Norsk näverlav har en hög andel av sin världspopulation i Norge och Sverige vilket medför ett särskilt ansvar för arten (Nitare &amp; Skogsstyrelsen, 2019; SLU Artdatabanken, 2024).</w:t>
      </w:r>
    </w:p>
    <w:p>
      <w:r>
        <w:rPr>
          <w:b/>
        </w:rPr>
        <w:t xml:space="preserve">Skuggnål (VU) </w:t>
      </w:r>
      <w:r>
        <w:t>växer främst vid basen av gamla grova granar i gamla boreala barrskogar med hög bonitet och mycket hög luftfuktighet. Minskningstakten har uppgått till 30 (20–50) % under de senaste 50 åren och överstiger gränsvärdet för Sårbar (VU) enligt A-kriteriet. (A2bc+4bc). Vid skogliga inventeringar är skuggnål en art som måste eftersökas och dess växtplatser ska bedömas som nyckelbiotoper (SLU Artdatabanken, 2024).</w:t>
      </w:r>
    </w:p>
    <w:p>
      <w:r>
        <w:rPr>
          <w:b/>
        </w:rPr>
        <w:t>Vitskaftad svartspik (VU)</w:t>
      </w:r>
      <w:r>
        <w:t xml:space="preserve"> förekommer främst i naturskog på gamla senvuxna granar och signalerar alltid höga naturvärden. Alla skogliga åtgärder som kan påverka markvatten och luftfuktighet på i närheten av lokaler utgör ett hot. Avverkning av naturskogar utgör ett allvarligt hot och alla skogsskötselåtgärder på eller i närheten av växtplatserna bör undvikas. Lämpligt stora reservat av naturskogstyp bör bevaras. Vitskaftad svartspik är typisk art för </w:t>
      </w:r>
      <w:r>
        <w:rPr>
          <w:i/>
        </w:rPr>
        <w:t>9010 Taiga</w:t>
      </w:r>
      <w:r>
        <w:t xml:space="preserve"> (SLU Artdatabanken, 2026; Nitare &amp; Skogsstyrelsen, 2019).</w:t>
      </w:r>
    </w:p>
    <w:p>
      <w:r>
        <w:rPr>
          <w:b/>
        </w:rPr>
        <w:t>Brun svartspik (NT)</w:t>
      </w:r>
      <w:r>
        <w:t xml:space="preserve"> är en lavparasit som växer på bålen av grå nållav, men är avsevärt ovanligare än värdarten och förekommer bara i kontinuitetsskog och fuktig gammelskog. Minskningstakten uppgår till 20 (10–40) % inom 50 år och bedöms vara nära gränsvärdet för Sårbar (VU) (SLU Artdatabanken, 2026).</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Kavernularia (NT)</w:t>
      </w:r>
      <w:r>
        <w:t xml:space="preserve"> är en rikligt förgrenad bladlav, som på den svarta undersidan har rikligt med karaktäristiska små håligheter, s. k. cavernulae. Den växer på de nedre tunna grenarna av gran i halvöppna gamla granskogar i områden av Jämtland och Åsele Lappmark med ett suboceaniskt klimat. Avverkning av kontinuitetsskogar med hög och jämn luftfuktighet är ett hot. Flera områden med kavernularia måste skyddas (SLU Artdatabanken, 2024).</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Nordlig nållav (NT)</w:t>
      </w:r>
      <w:r>
        <w:t xml:space="preserve"> signalerar alltid miljöer med höga naturvärden. På lokalerna förekommer nästan alltid andra rödlistade eller ovanliga arter knutna till gamla skogar. Alla skogsskötselåtgärder på eller i omedelbar närhet av lokalerna utgör ett hot. Några av lavens rikaste förekomster bör skyddas (SLU Artdatabanken, 2024; Nitare &amp; Skogsstyrelsen, 2019).</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är typisk art för </w:t>
      </w:r>
      <w:r>
        <w:rPr>
          <w:i/>
        </w:rPr>
        <w:t xml:space="preserve">9010 Taiga, 9020 Nordlig ädellövskog, 9070 Trädklädd betesmark, 9160 Näringsrik ekskog </w:t>
      </w:r>
      <w:r>
        <w:t xml:space="preserve">och </w:t>
      </w:r>
      <w:r>
        <w:rPr>
          <w:i/>
        </w:rPr>
        <w:t>9180 Ädellövskog i branter</w:t>
      </w:r>
      <w:r>
        <w:t xml:space="preserve"> och signalerar alltid höga naturvärden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Vedflikmossa (NT) </w:t>
      </w:r>
      <w:r>
        <w:t>är strikt knuten till död ved i främst Norrlands barrskogar. Fanns tidigare även i södra Sveriges skogar men är borta där. Eftersom arten huvudsakligen är hänvisad till skog där träd fått växa kontinuerligt under flera hundra år (kontinuitetsskog), inte klarar av en kalhyggesfas och har svårt att sprida sig över stora avstånd, bedöms populationen fortsätta att minska på grund av dagens avverkningstakt av kontinuitetsskog. För att hejda populationsminskningen av denna art måste kalavverkning i de barrskogar som tidigare aldrig kalhuggits (kontinuitetsskog) upphöra eller begränsas kraftigt (SLU Artdatabanken, 2024).</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i/>
        </w:rPr>
        <w:t xml:space="preserve">Miriquidica majae </w:t>
      </w:r>
      <w:r>
        <w:rPr>
          <w:b/>
        </w:rPr>
        <w:t>(DD)</w:t>
      </w:r>
      <w:r>
        <w:t xml:space="preserve"> är en svedskivlav som växer på gran. Enstaka fynd från Jämtland. Arten påverkas negativt av brist på kontinuitetsskog. Faktaunderlaget bedöms vara otillräckligt för att avgöra vilken av de olika rödlistningskategorierna som är mest trolig (SLU Artdatabanken, 2026).</w:t>
      </w:r>
    </w:p>
    <w:p>
      <w:r>
        <w:rPr>
          <w:b/>
          <w:i/>
        </w:rPr>
        <w:t>Protoparmelia ochrococca</w:t>
      </w:r>
      <w:r>
        <w:rPr>
          <w:b/>
        </w:rPr>
        <w:t xml:space="preserve"> (DD)</w:t>
      </w:r>
      <w:r>
        <w:t xml:space="preserve"> är en kastanjelav som endast är känd från kontinuitetsskogar i västra Värmland. Faktaunderlaget bedöms vara otillräckligt för att avgöra vilken av de olika rödlistningskategorierna som är mest trolig (SLU Artdatabanken, 2026).</w:t>
      </w:r>
    </w:p>
    <w:p>
      <w:r>
        <w:rPr>
          <w:b/>
        </w:rPr>
        <w:t>Barkkornlav</w:t>
      </w:r>
      <w:r>
        <w:t xml:space="preserve"> växer på bark av bl.a. gran, ek, al, asp, rönn, sälg och en i ädellövskogar, granskogar, barr- och lövblandskogar med hög luftfuktighet. Barkkornlav är typisk art för </w:t>
      </w:r>
      <w:r>
        <w:rPr>
          <w:i/>
        </w:rPr>
        <w:t>9190 Näringsfattig ekskog</w:t>
      </w:r>
      <w:r>
        <w:t xml:space="preserve"> (SLU Artdatabanken, 2025).</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r>
        <w:rPr>
          <w:b/>
        </w:rPr>
        <w:t xml:space="preserve">Källpraktmossa </w:t>
      </w:r>
      <w:r>
        <w:t xml:space="preserve">växer på fuktig eller blöt, näringsrik och ofta mineralrik mark, t.ex. i sumpskogar. Den är en god signalart i södra och mellersta Sverige och förekommer ofta i artrika miljöer med t.ex. kärrkammossa, bågpraktmossa, filtrundmossa och skogshakmossa. Eftersom mängden våtmarker har reducerats kraftigt i södra Sverige under det senaste seklet har förekomsten av källpraktmossa troligen minskat i söder. Källpraktmossa är typisk art för </w:t>
      </w:r>
      <w:r>
        <w:rPr>
          <w:i/>
        </w:rPr>
        <w:t xml:space="preserve">7160 Källor och källkärr, 9750 Svämlövskog </w:t>
      </w:r>
      <w:r>
        <w:t>och</w:t>
      </w:r>
      <w:r>
        <w:rPr>
          <w:i/>
        </w:rPr>
        <w:t xml:space="preserve"> 9080 Lövsumpskog </w:t>
      </w:r>
      <w:r>
        <w:t>(Nitare &amp; Skogsstyrelsen, 2019; SLU Artdatabanken, 2025).</w:t>
      </w:r>
    </w:p>
    <w:p>
      <w:r>
        <w:rPr>
          <w:b/>
        </w:rPr>
        <w:t xml:space="preserve">Kärrkammossa </w:t>
      </w:r>
      <w:r>
        <w:t xml:space="preserve">signalerar höga naturvärden i södra Sverige och är typisk art för </w:t>
      </w:r>
      <w:r>
        <w:rPr>
          <w:i/>
        </w:rPr>
        <w:t xml:space="preserve">9080 Lövsumpskog, 7310 Aapamyrar </w:t>
      </w:r>
      <w:r>
        <w:t xml:space="preserve">och </w:t>
      </w:r>
      <w:r>
        <w:rPr>
          <w:i/>
        </w:rPr>
        <w:t xml:space="preserve">7140 Öppna mossar och kärr </w:t>
      </w:r>
      <w:r>
        <w:t>(Nitare &amp; Skogsstyrelsen, 2019; SLU Artdatabanken, 2025).</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r>
        <w:rPr>
          <w:b/>
        </w:rPr>
        <w:t xml:space="preserve">Rostfläck </w:t>
      </w:r>
      <w:r>
        <w:t xml:space="preserve">signalerar framför allt höga naturvärden i östra Sverige samt norr om den naturliga norrlandsgränsen. Arten indikerar här skogsmiljöer som under lång tid haft ett konstant fuktigt mikroklimat. Rika förekomster i Norrland visar sannolikt på bestånd med långvarig kontinuitet av gamla träd. När laven påträffas i alkärr signalerar den höga naturvärden inom hela sitt utbredningsområde. Rostfläck är typisk art för </w:t>
      </w:r>
      <w:r>
        <w:rPr>
          <w:i/>
        </w:rPr>
        <w:t xml:space="preserve">9190 Näringsfattig ekskog </w:t>
      </w:r>
      <w:r>
        <w:t>(Nitare &amp; Skogsstyrelsen, 2019; SLU Artdatabanken, 2025).</w:t>
      </w:r>
    </w:p>
    <w:p>
      <w:r>
        <w:rPr>
          <w:b/>
        </w:rPr>
        <w:t>Skogshakmossa</w:t>
      </w:r>
      <w:r>
        <w:t xml:space="preserve"> indikerar lokaler som ofta har en artrik mossflora som kräver jämn och hög markfuktighet, till exempel olika sumpskogar med höga naturvärden. Högst signalvärde har arten i södra och mellersta Sverige. Skogshakmossa är typisk art för </w:t>
      </w:r>
      <w:r>
        <w:rPr>
          <w:i/>
        </w:rPr>
        <w:t xml:space="preserve">9010 Taiga, 9050 Näringsrik granskog, 9080 Lövsumpskog </w:t>
      </w:r>
      <w:r>
        <w:t xml:space="preserve">och </w:t>
      </w:r>
      <w:r>
        <w:rPr>
          <w:i/>
        </w:rPr>
        <w:t xml:space="preserve">9750 Svämlövskog </w:t>
      </w:r>
      <w:r>
        <w:t>(Nitare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Tallbit (§4)</w:t>
      </w:r>
      <w:r>
        <w:t xml:space="preserve"> ställer höga krav på sin livsmiljö och permanent förekomst av häckande tallbit finns huvudsakligen i gammal grandominerad barrblandskog av naturskogskaraktär. Reviren är relativt stora (12–75 hektar) och arten saknas i områden med storskaligt skogsbruk med hög andel stora hyggen och täta ungskogar. Områden med dokumenterad permanent förekomst har vanligtvis så stora naturvärden att skogsbruk är olämpligt. Tallbit är typisk art för </w:t>
      </w:r>
      <w:r>
        <w:rPr>
          <w:i/>
        </w:rPr>
        <w:t>9010 Taiga</w:t>
      </w:r>
      <w:r>
        <w:t xml:space="preserve"> (SLU Artdatabanken, 2026; Skogsstyrelsen, 2016). Observationer av tallbit i naturskog eller under häckningstid måste alltid utredas.</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gränsticka (VU, T), liten sotlav (VU, T), vitskaftad svartspik (VU, T), brunpudrad nållav (NT, T), doftskinn (NT, T), gammelgransskål (NT, T), harticka (NT, T), lavskrika (NT, T, §4), lunglav (NT, T), rödbrun blekspik (NT, T), skrovellav (NT, T), tretåig hackspett (NT, T, §4), ullticka (NT, T), vedtrappmossa (NT, T), barkkornlav (S, T), gulnål (S, T), källpraktmossa (S, T), kärrkammossa (S, T), mörk husmossa (S, T), norrlandslav (S, T), rostfläck (S, T), skogshakmossa (S, T), stuplav (S, T), trådticka (S, T), vedticka (S, T), spillkråka (T, §4) och tallbit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Tallbit – ekologi samt krav på livsmiljön</w:t>
      </w:r>
    </w:p>
    <w:p>
      <w:r>
        <w:t xml:space="preserve">Tallbit (§4) är typisk art för </w:t>
      </w:r>
      <w:r>
        <w:rPr>
          <w:i/>
        </w:rPr>
        <w:t>9010 Taiga</w:t>
      </w:r>
      <w:r>
        <w:t xml:space="preserve"> och prioriterad art enligt Skogsvårdslagen. Den förekommer från norra Dalarna och norrut genom de inre delarna av Norrland, norrut till norra Norrbotten. Tallbiten ställer höga krav på sin livsmiljö och permanent förekomst av häckande tallbit finns huvudsakligen i gammal grandominerad barrblandskog av naturskogskaraktär med inslag av björk, gråal, rönn och viden, påfallande ofta i områden med inslag av myrmark och små vattendrag. Reviren är relativt stora (12–75 hektar enligt befintliga studier) och arten saknas i områden med storskaligt skogsbruk med hög andel stora hyggen och täta ungskogar. Områden med dokumenterad permanent förekomst har ofta så stora naturvärden att skogsbruk är olämpligt (SLU Artdatabanken, 2026; Skogsstyrelsen, 2016).</w:t>
      </w:r>
    </w:p>
    <w:p>
      <w:r>
        <w:t>Arealerna grandominerad naturskog har i stora delar av landet blivit allt för små, och bestånden är dessutom i många fall allt för isolerade, för att kunna upprätthålla stabila populationer. Omdaningen av naturskogsartad skog till produktionsskog medför en förlust av viktiga häckningsmiljöer, något som förstärks av ökad fragmentering av kvarvarande naturskogsartade bestånd. Områden med dokumenterad permanent förekomst i naturskogsmiljöer kan ha så stora naturvärden att de bör bli föremål för områdesskydd eller naturvårdsavsättningar (Skogsstyrelsen, 2016).</w:t>
      </w:r>
    </w:p>
    <w:p>
      <w:r>
        <w:t>Tallbiten flyttar normalt endast begränsade sträckor inom norra barrskogsregionen och de flesta vintrar ses den endast i mycket liten omfattning utanför häckningsområdet. Med långa och oregelbundna mellanrum uppträder tallbiten invasionsaktigt och i samband med sådana rörelser kan den observeras i stora delar av Sverige (SLU Artdatabanken, 2026).</w:t>
      </w:r>
    </w:p>
    <w:p>
      <w:pPr>
        <w:pStyle w:val="Heading2"/>
      </w:pPr>
      <w:r>
        <w:t>Referenser – tallbit</w:t>
      </w:r>
    </w:p>
    <w:p>
      <w:r>
        <w:t xml:space="preserve">Skogsstyrelsen, 2016. </w:t>
      </w:r>
      <w:r>
        <w:rPr>
          <w:i/>
        </w:rPr>
        <w:t xml:space="preserve">Vägledning för hänsyn till tallbit. </w:t>
      </w:r>
      <w:r>
        <w:t>Vägledningar och kunskapsstöd artskydd - Skogsstyrelsen</w:t>
      </w:r>
    </w:p>
    <w:p>
      <w:r>
        <w:t>SLU Artdatabanken, 2026.</w:t>
      </w:r>
      <w:r>
        <w:rPr>
          <w:i/>
        </w:rPr>
        <w:t xml:space="preserve"> Artfakta: tallbit (Pinicola enucleator).</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