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17780-2024 i Åre kommun</w:t>
      </w:r>
    </w:p>
    <w:p>
      <w:r>
        <w:t>Detta dokument behandlar höga naturvärden i avverkningsanmälan A 17780-2024 i Åre kommun. Denna avverkningsanmälan inkom 2024-05-06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amerikansk sönderfallslav (VU), skuggkraterlav (VU), garnlav (NT), skrovellav (NT), tretåig hackspett (NT, §4), vedflikmossa (NT), vitgrynig nållav (NT), gytterlav (S), korallblylav (S), luddlav (S), spindelblomster (S, §8), stuplav (S) och trådticka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4207"/>
            <wp:docPr id="1" name="Picture 1"/>
            <wp:cNvGraphicFramePr>
              <a:graphicFrameLocks noChangeAspect="1"/>
            </wp:cNvGraphicFramePr>
            <a:graphic>
              <a:graphicData uri="http://schemas.openxmlformats.org/drawingml/2006/picture">
                <pic:pic>
                  <pic:nvPicPr>
                    <pic:cNvPr id="0" name="A 17780-2024 karta.png"/>
                    <pic:cNvPicPr/>
                  </pic:nvPicPr>
                  <pic:blipFill>
                    <a:blip r:embed="rId16"/>
                    <a:stretch>
                      <a:fillRect/>
                    </a:stretch>
                  </pic:blipFill>
                  <pic:spPr>
                    <a:xfrm>
                      <a:off x="0" y="0"/>
                      <a:ext cx="5486400" cy="565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7046634, E 421035 i SWEREF 99 TM.</w:t>
      </w:r>
    </w:p>
    <w:p>
      <w:r>
        <w:rPr>
          <w:b/>
        </w:rPr>
        <w:t xml:space="preserve">Amerikansk sönderfallslav (VU) </w:t>
      </w:r>
      <w:r>
        <w:t>är en synnerligen ovanlig lav som växer på gamla sälgar och granar i naturskog med mycket hög och jämn luftfuktighet. Avverkning av kontinuitetsskog samt ändringar av lokalklimatet som medför en minskning av luftfuktigheten hotar arten. Områden med amerikansk sönderfallslav måste skyddas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Skuggkraterlav (VU)</w:t>
      </w:r>
      <w:r>
        <w:t xml:space="preserve"> växer synnerligen skuggat i branta gamla granskogar och raviner med mycket hög luftfuktighet. Arten överlever inte en slutavverkning (inklusive hänsyn) och den finns idag enbart kvar i kontinuitetsskogar. Samtliga lokaler måste skyddas och lämnas för fri utveckling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