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43967-2024 i Åre kommun</w:t>
      </w:r>
    </w:p>
    <w:p>
      <w:r>
        <w:t>Detta klagomål behandlar höga naturvärden i avverkningsanmälan A 43967-2024 i Åre kommun som inkom 2024-10-07 och omfattar 18,2 ha.</w:t>
      </w:r>
    </w:p>
    <w:p>
      <w:pPr>
        <w:pStyle w:val="Caption"/>
      </w:pPr>
      <w:r>
        <w:drawing>
          <wp:inline xmlns:a="http://schemas.openxmlformats.org/drawingml/2006/main" xmlns:pic="http://schemas.openxmlformats.org/drawingml/2006/picture">
            <wp:extent cx="4290049" cy="5724000"/>
            <wp:docPr id="1" name="Picture 1"/>
            <wp:cNvGraphicFramePr>
              <a:graphicFrameLocks noChangeAspect="1"/>
            </wp:cNvGraphicFramePr>
            <a:graphic>
              <a:graphicData uri="http://schemas.openxmlformats.org/drawingml/2006/picture">
                <pic:pic>
                  <pic:nvPicPr>
                    <pic:cNvPr id="0" name="A 43967-2024 karta.png"/>
                    <pic:cNvPicPr/>
                  </pic:nvPicPr>
                  <pic:blipFill>
                    <a:blip r:embed="rId16"/>
                    <a:stretch>
                      <a:fillRect/>
                    </a:stretch>
                  </pic:blipFill>
                  <pic:spPr>
                    <a:xfrm>
                      <a:off x="0" y="0"/>
                      <a:ext cx="429004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7082404, E 399232 i SWEREF 99 TM.</w:t>
      </w:r>
    </w:p>
    <w:p>
      <w:r>
        <w:t>I och inom 25 meter från avverkningsanmälan finns fynd av 15 naturvårdsarter, varav 8 är rödlistade, 1 är fridlyst, 8 är typiska (T) och 7 är signalarter (S): garnlav (VU, T), gropig skägglav (VU), gammelgransskål (NT, T), rödbrun blekspik (NT, T), vedflamlav (NT), vedflikmossa (NT), vedskivlav (NT, T), vitgrynig nållav (NT), källpraktmossa (S, T), mörk husmossa (S, T), purpurmylia (S), spindelblomster (S, T, §8), stor revmossa (S), stuplav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