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34768-2025 i Åre kommun</w:t>
      </w:r>
    </w:p>
    <w:p>
      <w:r>
        <w:t>Detta dokument behandlar höga naturvärden i avverkningsanmälan A 34768-2025 i Åre kommun. Denna avverkningsanmälan inkom 2025-07-10 00:00:00 och omfattar 11,4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17 naturvårdsarter hittats: doftskinn (NT), gammelgransskål (NT), garnlav (NT), granticka (NT), gränsticka (NT), knottrig blåslav (NT), liten svartspik (NT), talltita (NT, §4), tretåig hackspett (NT, §4), ullticka (NT), vitgrynig nållav (NT), diskvaxskivling (S), fjällig taggsvamp s.str. (S), spindelblomster (S, §8), stuplav (S), trådticka (S) och lavskrika (§4). Av dessa är 11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89543"/>
            <wp:docPr id="1" name="Picture 1"/>
            <wp:cNvGraphicFramePr>
              <a:graphicFrameLocks noChangeAspect="1"/>
            </wp:cNvGraphicFramePr>
            <a:graphic>
              <a:graphicData uri="http://schemas.openxmlformats.org/drawingml/2006/picture">
                <pic:pic>
                  <pic:nvPicPr>
                    <pic:cNvPr id="0" name="A 34768-2025 karta.png"/>
                    <pic:cNvPicPr/>
                  </pic:nvPicPr>
                  <pic:blipFill>
                    <a:blip r:embed="rId16"/>
                    <a:stretch>
                      <a:fillRect/>
                    </a:stretch>
                  </pic:blipFill>
                  <pic:spPr>
                    <a:xfrm>
                      <a:off x="0" y="0"/>
                      <a:ext cx="5486400" cy="398954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7004228, E 436084 i SWEREF 99 TM.</w:t>
      </w:r>
    </w:p>
    <w:p>
      <w:r>
        <w:rPr>
          <w:b/>
        </w:rPr>
        <w:t>Doftskinn (NT)</w:t>
      </w:r>
      <w:r>
        <w:t>, rödlistad som nära hotad, är en mycket bra signalart för boreal granskog och indikerar ett gran-skogsekosystem med lång kontinuitet av grova lågor. Arten är placerad i toppen av Skogsstyrelsens värdepyramid för bedömning av skog med höga naturvärden och har klassats som en “urskogsindikator”, då den förekommer med ett tydligt optimum i helt eller nästan helt orörda skogar (Nitare &amp; Skogsstyrelsen, 2019).</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(SLU Artdatabanken, 2024;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Gränsticka (NT)</w:t>
      </w:r>
      <w:r>
        <w:t xml:space="preserve"> är en mycket bra signalart inom hela sitt utbredningsområde. Den är huvudsakligen knuten till restbestånd av barrnaturskog och förekommer med ett tydligt optimum i orörda eller måttligt påverkade gamla granskogar där det föreligger långvarig kontinuitet av grov död ved. Lokaler som hyser arten, speciellt i mellersta och södra Sverige, bör undantas från skogsbruk (SLU Artdatabanken, 2024; Nitare &amp; Skogsstyrelsen, 2019).</w:t>
      </w:r>
    </w:p>
    <w:p>
      <w:r>
        <w:rPr>
          <w:b/>
        </w:rPr>
        <w:t>Knottrig blåslav (NT)</w:t>
      </w:r>
      <w:r>
        <w:t xml:space="preserve"> har sin huvudutbredning i gamla granskogar i det övre barrskogsbältet mot fjällen. Den signalerar alltid höga naturvärden och växer i skogar med lång kontinuitet, mest i opåverkade naturskogsbestånd. Arten överlever inte en slutavverkning (inklusive hänsyn) och den finns idag enbart i kontinuitetsskog. Lavens fortsatta förekomst bör säkerställas genom att lokaler med äldre barrskog skyddas (SLU Artdatabanken, 2024; Nitare &amp; Skogsstyrelsen, 2019).</w:t>
      </w:r>
    </w:p>
    <w:p>
      <w:r>
        <w:rPr>
          <w:b/>
        </w:rPr>
        <w:t>Liten svartspik (NT)</w:t>
      </w:r>
      <w:r>
        <w:t xml:space="preserve"> växer på granbark i boreala barrskogar med lång trädkontinuitet och hög luftfuktighet. Orsaken till tillbakagången beror på främst på slutavverkningar av naturskogsartade granskogar. Bestånd med riklig förekomst av liten svartspik bör regelmässigt sparas. Naturhänsyn i samband med slutavverkning måste ske så att man undviker uttorkningseffekter (SLU Artdatabanken, 2024).</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r>
        <w:rPr>
          <w:b/>
        </w:rPr>
        <w:t>Vitgrynig nållav (NT)</w:t>
      </w:r>
      <w:r>
        <w:t xml:space="preserve"> växer nästan uteslutande på bark av gamla, senvuxna granar i skuggiga lägen med hög och jämn luftfuktighet. Den vanligaste naturtypen för arten är kontinuitetsskogar på frisk mark men den finns också i sumpgranskogar. På lång sikt utgör avverkningar av olikåldriga granskogar av naturskogskaraktär ett allvarligt hot mot arten och skogsbruksåtgärder på eller i närheten av växtplatserna bör undvikas. Naturskogsartade, fuktiga granskogar med förekomster av arten signalerar höga biologiska värden och bör bevaras (SLU Artdatabanken, 2024; Nitare &amp; Skogsstyrelsen, 2019).</w:t>
      </w:r>
    </w:p>
    <w:p>
      <w:pPr>
        <w:pStyle w:val="Heading1"/>
      </w:pPr>
      <w:r>
        <w:t>Fridlysta arter</w:t>
      </w:r>
    </w:p>
    <w:p>
      <w:r>
        <w:t>Följande fridlysta arter har sina livsmiljöer och växtplatser i den avverkningsanmälda skogen: talltita (NT, §4), tretåig hackspett (NT, §4), spindelblomster (S, §8) och lavskrika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Lavskrika (§4)</w:t>
      </w:r>
      <w:r>
        <w:t>, prioriterad art i Skogsvårdslagen, är en mycket stationär fågel, som häckar i äldre, slutna och hänglavsrika barrskogar. Reviren är livslånga med hemområden som varierar mellan 50 och 150 ha. Inom ett revir av hög kvalitet finns det som regel ett eller flera kärnområden (1–20 ha) med relativt tät flerskiktad granskog. Arten missgynnas när flerskiktad skog omförs till enskiktade bestånd och även röjning och hård gallring är starkt negativt. Lavskrikan har relativt stora hemområden och försvinner när den äldre skogen fragmenteras, särskilt allvarligt är när kärnområdena avverkas. (Skogsstyrelsen 2016). Populationen har minskat med 20–40 % de senaste 30 åren. Arten försvinner successivt framför allt vid dess utbredningsgränser (SLU Artdatabanken, 2021).</w:t>
      </w:r>
    </w:p>
    <w:p>
      <w:r>
        <w:rPr>
          <w:b/>
        </w:rPr>
        <w:t>Spindelblomster (§8)</w:t>
      </w:r>
      <w:r>
        <w:t xml:space="preserve"> växer i äldre mossrik granskog eller barrblandskog, men även i fjällbjörkskog. Arten indikerar långvarig trädkontinuitet och hög luftfuktighet och är mycket känslig för uttorkning och markskador. Spindelblomster har i många trakter minskat starkt under senare tid på grund av slutavverkningar och skogsmarksdikning (Nitare &amp; Skogsstyrelsen, 2019).</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Lavskrika – ekologi samt krav på livsmiljön</w:t>
      </w:r>
    </w:p>
    <w:p>
      <w:r>
        <w:t>Lavskrikan är fridlyst enligt 4 § artskyddsförordningen (2007:845) och ingår i förteckningen över prioriterade arter i Skogsstyrelsens föreskrifter och allmänna råd (SKSFS 2011:7) bilaga 4.</w:t>
      </w:r>
    </w:p>
    <w:p>
      <w:r>
        <w:t xml:space="preserve">I Skogsstyrelsens vägledning för hänsyn till fåglar står bland annat att: </w:t>
      </w:r>
      <w:r>
        <w:rPr>
          <w:i/>
        </w:rPr>
        <w:t>“Reviren är livslånga med hemområden som varierar mellan 50 och 150 ha. Hemområdena har inga fasta gränser utan det handlar mera om de yttre gränserna för familjegruppernas rörelser. Lavskrikan undviker att förflytta sig över stora öppna områden och hemområdesstorleken är därför större i områden fragmenterade av hyggen och yngre skog än i områden med i sammanhängande äldre skog. Det finns studier som antyder att det inom ett revir bör finnas maximalt 15 % öppna ytor och ungskog. Inom ett revir av hög kvalitet finns det som regel ett eller flera kärnområden (1–20 ha) med relativt tät flerskiktad granskog.”</w:t>
      </w:r>
      <w:r>
        <w:t xml:space="preserve"> Vidare att: </w:t>
      </w:r>
      <w:r>
        <w:rPr>
          <w:i/>
        </w:rPr>
        <w:t>“Arten missgynnas när flerskiktad skog omförs till enskiktade bestånd. Även skogsskötsel med återkommande röjning och hård gallring är starkt negativt. Lavskrikan har relativt stora hemområden och försvinner när den äldre skogen fragmenteras, särskilt allvarligt är när kärnområdena avverkas.”</w:t>
      </w:r>
      <w:r>
        <w:t xml:space="preserve"> (Skogsstyrelsen 2016).</w:t>
      </w:r>
    </w:p>
    <w:p>
      <w:r>
        <w:t>Populationen har minskat med 20–40 % de senaste 30 åren, men i Svensk Fågeltaxerings standardrutter varierar antalet kraftigt och ingen minskning kan skönjas de senaste 18 åren. Arten försvinner successivt framför allt vid dess utbredningsgränser (SLU Artdatabanken, 2022).</w:t>
      </w:r>
    </w:p>
    <w:p>
      <w:pPr>
        <w:pStyle w:val="Heading2"/>
      </w:pPr>
      <w:r>
        <w:t>Referenser – lavskrika</w:t>
      </w:r>
    </w:p>
    <w:p>
      <w:r>
        <w:t xml:space="preserve">Skogsstyrelsen, 2016. </w:t>
      </w:r>
      <w:r>
        <w:rPr>
          <w:i/>
        </w:rPr>
        <w:t xml:space="preserve">Vägledning för hänsyn till fåglar – lavskrika. </w:t>
      </w:r>
      <w:r>
        <w:t>https://www.skogsstyrelsen.se/globalassets/lag-och-tillsyn/artskydd/vagledningar-for-hansyn-till-faglar/lavskrika-vagledning-hansyn.pdf</w:t>
      </w:r>
    </w:p>
    <w:p>
      <w:r>
        <w:t xml:space="preserve">SLU Artdatabanken, 2021.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2025-10-10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