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39829-2026 i Åre kommun</w:t>
      </w:r>
    </w:p>
    <w:p>
      <w:r>
        <w:t>Detta klagomål behandlar höga naturvärden i avverkningsanmälan A 39829-2026 i Åre kommun som inkom 2026-09-25 och omfattar 7,8 ha.</w:t>
      </w:r>
    </w:p>
    <w:p>
      <w:pPr>
        <w:pStyle w:val="Caption"/>
      </w:pPr>
      <w:r>
        <w:drawing>
          <wp:inline xmlns:a="http://schemas.openxmlformats.org/drawingml/2006/main" xmlns:pic="http://schemas.openxmlformats.org/drawingml/2006/picture">
            <wp:extent cx="5486400" cy="4557643"/>
            <wp:docPr id="1" name="Picture 1"/>
            <wp:cNvGraphicFramePr>
              <a:graphicFrameLocks noChangeAspect="1"/>
            </wp:cNvGraphicFramePr>
            <a:graphic>
              <a:graphicData uri="http://schemas.openxmlformats.org/drawingml/2006/picture">
                <pic:pic>
                  <pic:nvPicPr>
                    <pic:cNvPr id="0" name="A 39829-2026 karta.png"/>
                    <pic:cNvPicPr/>
                  </pic:nvPicPr>
                  <pic:blipFill>
                    <a:blip r:embed="rId16"/>
                    <a:stretch>
                      <a:fillRect/>
                    </a:stretch>
                  </pic:blipFill>
                  <pic:spPr>
                    <a:xfrm>
                      <a:off x="0" y="0"/>
                      <a:ext cx="5486400" cy="4557643"/>
                    </a:xfrm>
                    <a:prstGeom prst="rect"/>
                  </pic:spPr>
                </pic:pic>
              </a:graphicData>
            </a:graphic>
          </wp:inline>
        </w:drawing>
      </w:r>
    </w:p>
    <w:p>
      <w:pPr>
        <w:pStyle w:val="Caption"/>
        <w:spacing w:after="240"/>
      </w:pPr>
      <w:r>
        <w:t>Figur 1. Fyndplatser för naturvårdsarter i avverkningsanmälan. Markörer utan svart kant är placerade på fyndplatsen. Markörer med svart kant är placerade vid sidan av fyndplatsen och har ett svart streck som visar fyndplatsens exakta position. Kartans mittpunktskoordinat är N 7014885, E 409259 i SWEREF 99 TM.</w:t>
      </w:r>
    </w:p>
    <w:p>
      <w:r>
        <w:t>I avverkningsanmälan finns fynd av 6 naturvårdsarter, varav 5 är rödlistade, 4 är fridlysta och 5 är typiska (T): garnlav (VU, T), gullpudra (NT, T), lavskrika (NT, T, §4), talltita (NT, §4), tretåig hackspett (NT, T, §4) och tallbit (T, §4).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Garnlav (VU)</w:t>
      </w:r>
      <w:r>
        <w:t xml:space="preserve"> är en utpräglad barrskogsart som ibland kan drapera träden i norrländska grannaturskogar med hög luftfuktighet. Den förekommer även i talldominerade bestånd där den, förutom i trädens grenverk, påträffas hängande över ojämnheter i tallbarken. Arten har minskat starkt i södra och mellersta Sverige och den minskar även i sitt nordliga utbredningsområde. Minskningstakten uppgår till 30 (20–50) % inom 50 år och överstiger gränsvärdet för Sårbar (VU). Orsaken till tillbakagången beror främst på slutavverkningar av naturskogsartade skogar. Bestånd med riklig förekomst bör regelmässigt sparas, vilket även gynnar flera andra sällsynta och rödlistade arter. Garnlav är värdväxt för den mycket sällsynta och akut hotade fjärilen barrskogslavfly (CR) som hör hemma i boreala barrskogar med riklig förekomst av värdväxten. Tidigare kunde arten konstateras årligen på flera platser vid Dala-Floda i Dalarna innan lokalerna kalavverkades. Senaste fyndet i landet av barrskogslavfly är från år 2000 då den påträffades vid Högberget i Sollefteå kommun. Garnlav är typisk art för </w:t>
      </w:r>
      <w:r>
        <w:rPr>
          <w:i/>
        </w:rPr>
        <w:t xml:space="preserve">9010 Taiga </w:t>
      </w:r>
      <w:r>
        <w:t>och</w:t>
      </w:r>
      <w:r>
        <w:rPr>
          <w:i/>
        </w:rPr>
        <w:t xml:space="preserve"> 9070 Trädklädd betesmark</w:t>
      </w:r>
      <w:r>
        <w:t xml:space="preserve"> (SLU Artdatabanken, 2026).</w:t>
      </w:r>
    </w:p>
    <w:p>
      <w:r>
        <w:rPr>
          <w:b/>
        </w:rPr>
        <w:t>Gullpudra (NT)</w:t>
      </w:r>
      <w:r>
        <w:t xml:space="preserve"> växer sparsamt främst i källpåverkad sumpskog i södra och mellersta Sverige norrut till Jämtland-Västernorrland. Kommer in på rödlistan för första gången 2025 till följd av en stark minskning (&gt;50%) i Riksskogstaxeringens data. Minskningstakten överstiger gränsvärdet för Starkt hotad (EN) enligt A-kriteriet.  Då minskningen har en stor osäkerhet så nedgraderas rödlistekategorin två steg till Nära hotad. Gullpudra är typisk art för </w:t>
      </w:r>
      <w:r>
        <w:rPr>
          <w:i/>
        </w:rPr>
        <w:t xml:space="preserve">9080 Lövsumpskog, 7160 Källor och källkärr </w:t>
      </w:r>
      <w:r>
        <w:t>och</w:t>
      </w:r>
      <w:r>
        <w:rPr>
          <w:i/>
        </w:rPr>
        <w:t xml:space="preserve"> 7310 Aapamyrar</w:t>
      </w:r>
      <w:r>
        <w:t xml:space="preserve"> (SLU Artdatabanken, 2026).</w:t>
      </w:r>
    </w:p>
    <w:p>
      <w:r>
        <w:rPr>
          <w:b/>
        </w:rPr>
        <w:t>Lavskrika (NT, §4)</w:t>
      </w:r>
      <w:r>
        <w:t xml:space="preserve"> är rödlistad som nära hotad och fridlyst enligt 4§ artskyddsförordningen. Den har minskat med 20 (10–30) % under de senaste 15 åren och minskningstakten bedöms vara nära gränsvärdet för sårbar (VU). Lavskrikan är en mycket stationär fågel, som häckar i äldre, slutna och hänglavsrika barrskogar. Nyckelfaktorer är flerskiktad skog med rik undervegetation samt riklig förekomst av hänglavar. Reviren är livslånga med hemområden som varierar mellan 50 och 150 ha. Inom ett revir av hög kvalitet finns det som regel ett eller flera kärnområden (1–20 ha) med relativt tät flerskiktad granskog. Arten missgynnas när flerskiktad skog omförs till enskiktade bestånd och även röjning och hård gallring är starkt negativt. Lavskrikan har relativt stora hemområden och försvinner när den äldre skogen fragmenteras, särskilt allvarligt är när kärnområdena avverkas. Den försvinner successivt framför allt vid dess utbredningsgränser och populationen har minskat kontinuerligt under 2000-talet. Lavskrika är typisk art för </w:t>
      </w:r>
      <w:r>
        <w:rPr>
          <w:i/>
        </w:rPr>
        <w:t>9010 Taiga</w:t>
      </w:r>
      <w:r>
        <w:t xml:space="preserve"> (SLU Artdatabanken, 2026; Skogsstyrelsen 2016).</w:t>
      </w:r>
    </w:p>
    <w:p>
      <w:r>
        <w:rPr>
          <w:b/>
        </w:rPr>
        <w:t>Talltita (NT, §4)</w:t>
      </w:r>
      <w:r>
        <w:t>, rödlistad som nära hotad och prioriterad art i Skogsvårdslagen, har häckningsrevir i anmälan. Arten har minskat kraftigt de senaste 30 åren och minskningstakten innevarande 10-årsperiod beräknas till 20 (10–30) %. Talltitan är synnerligen trogen sitt cirka 15 hektar stora revir och är beroende av flerskiktade olikåldriga skogar för att kunna föda upp sina ungar. Talltitan försvinner om dess livsmiljö kalavverkas (Eggers &amp; Low, 2014; Ekman, 1979; Griesser et al, 2007; Klein, 2020; Siffczyk et al, 2003; SLU Artdatabanken, 2021).</w:t>
      </w:r>
    </w:p>
    <w:p>
      <w:r>
        <w:rPr>
          <w:b/>
        </w:rPr>
        <w:t>Tretåig hackspett (NT, §4)</w:t>
      </w:r>
      <w:r>
        <w:t xml:space="preserve"> är rödlistad som nära hotad och ingår i bilaga 1 i EU:s fågeldirektiv. Tretåig hackspett är för sin överlevnad beroende av kontinuerlig tillförsel av äldre döende och död ved, som sker genom naturliga självgallringsprocesser i äldre grannaturskogar och barrblandade naturskogar. Om en skog genom skogsbruk gallras eller glesas ur så upphör och uteblir i stort sett den naturliga självgallringsprocessen för mycket lång tid framöver vilket omöjliggör upprätthållandet av den kontinuerliga ekologiska funktionen i ett område. Det finns studier som visar att naturskogens självgallringsprocess som den tretåiga hackspetten är beroende av, inte kan ersättas med efterlämnad hänsyn i skogsbruket (Imbeau &amp; Desrochers, 2002). Storleken på häckningsreviret varierar med skogstypen, förekomsten av död ved och graden av fragmentering, men är i allmänhet i storleksordningen 25–100 hektar. Vintertid krävs ofta betydligt större områden och det finns studier som antyder att arten behöver minst 100 hektar äldre skog. I områden med låg bonitet kan det behövas över 200 hektar lämpligt habitat för att ett par ska kunna reproducera sig. Områden med dokumenterad permanent förekomst i naturskogsmiljöer har vanligen så stora naturvärden att skogsbruk är olämpligt. Tretåig hackspett är typisk art för </w:t>
      </w:r>
      <w:r>
        <w:rPr>
          <w:i/>
        </w:rPr>
        <w:t xml:space="preserve">9010 Taiga, 9740 Skogsbevuxen myr, 9030 Landhöjningsskog </w:t>
      </w:r>
      <w:r>
        <w:t xml:space="preserve">och </w:t>
      </w:r>
      <w:r>
        <w:rPr>
          <w:i/>
        </w:rPr>
        <w:t>9040 Fjällbjörkskog</w:t>
      </w:r>
      <w:r>
        <w:t xml:space="preserve"> (Skogsstyrelsen, 2016; SLU Artdatabanken, 2024).</w:t>
      </w:r>
    </w:p>
    <w:p>
      <w:r>
        <w:rPr>
          <w:b/>
        </w:rPr>
        <w:t>Tallbit (§4)</w:t>
      </w:r>
      <w:r>
        <w:t xml:space="preserve"> ställer höga krav på sin livsmiljö och permanent förekomst av häckande tallbit finns huvudsakligen i gammal grandominerad barrblandskog av naturskogskaraktär. Reviren är relativt stora (12–75 hektar) och arten saknas i områden med storskaligt skogsbruk med hög andel stora hyggen och täta ungskogar. Områden med dokumenterad permanent förekomst har vanligtvis så stora naturvärden att skogsbruk är olämpligt. Tallbit är typisk art för </w:t>
      </w:r>
      <w:r>
        <w:rPr>
          <w:i/>
        </w:rPr>
        <w:t>9010 Taiga</w:t>
      </w:r>
      <w:r>
        <w:t xml:space="preserve"> (SLU Artdatabanken, 2026; Skogsstyrelsen, 2016). Observationer av tallbit i naturskog eller under häckningstid måste alltid utredas.</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r>
        <w:rPr>
          <w:i/>
        </w:rPr>
        <w:t xml:space="preserve"> EU:s medlemsländer och skogsbolag är skyldiga att agera i enlighet med EU:s fågeldirektiv där det uttryckligen står att direktivet gäller för fåglar samt för deras ägg, bon och </w:t>
      </w:r>
      <w:r>
        <w:rPr>
          <w:b/>
          <w:i/>
        </w:rPr>
        <w:t xml:space="preserve">livsmiljöer </w:t>
      </w:r>
      <w:r>
        <w:t>(artikel 1). Vidare att de åtgärder som vidtas inte får leda till en försämring av den nuvarande situationen beträffande bevarandet av de fågelarter som avses i artikel 1 (artikel 13).</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6 naturvårdsarter varav 5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 Fridlysta arter</w:t>
      </w:r>
    </w:p>
    <w:p>
      <w:pPr>
        <w:pStyle w:val="Heading1"/>
      </w:pPr>
      <w:r>
        <w:t>Lavskrika – ekologi samt krav på livsmiljön</w:t>
      </w:r>
    </w:p>
    <w:p>
      <w:r>
        <w:t>Lavskrika är rödlistad som nära hotad (NT), fridlyst enligt 4 § artskyddsförordningen (2007:845) och ingår i förteckningen över prioriterade arter i Skogsstyrelsens föreskrifter och allmänna råd (SKSFS 2011:7) bilaga 4. Lavskrikan är en mycket stationär fågel, som häckar i äldre, slutna och hänglavsrika barrskogar. Nyckelfaktorer är flerskiktad skog med rik undervegetation samt riklig förekomst av hänglavar (SLU Artdatabanken, 2026).</w:t>
      </w:r>
    </w:p>
    <w:p>
      <w:r>
        <w:t xml:space="preserve">I Skogsstyrelsens vägledning för hänsyn till fåglar står bland annat att: </w:t>
      </w:r>
      <w:r>
        <w:rPr>
          <w:i/>
        </w:rPr>
        <w:t>“Reviren är livslånga med hemområden som varierar mellan 50 och 150 ha. Hemområdena har inga fasta gränser utan det handlar mera om de yttre gränserna för familjegruppernas rörelser. Lavskrikan undviker att förflytta sig över stora öppna områden och hemområdesstorleken är därför större i områden fragmenterade av hyggen och yngre skog än i områden med i sammanhängande äldre skog. Det finns studier som antyder att det inom ett revir bör finnas maximalt 15 % öppna ytor och ungskog. Inom ett revir av hög kvalitet finns det som regel ett eller flera kärnområden (1–20 ha) med relativt tät flerskiktad granskog.”</w:t>
      </w:r>
      <w:r>
        <w:t xml:space="preserve"> Vidare att: </w:t>
      </w:r>
      <w:r>
        <w:rPr>
          <w:i/>
        </w:rPr>
        <w:t>“Arten missgynnas när flerskiktad skog omförs till enskiktade bestånd. Även skogsskötsel med återkommande röjning och hård gallring är starkt negativt. Lavskrikan har relativt stora hemområden och försvinner när den äldre skogen fragmenteras, särskilt allvarligt är när kärnområdena avverkas.”</w:t>
      </w:r>
      <w:r>
        <w:t xml:space="preserve"> (Skogsstyrelsen 2016).</w:t>
      </w:r>
    </w:p>
    <w:p>
      <w:r>
        <w:t xml:space="preserve">Populationen har minskat med 20 (10–30) % under de senaste 15 åren och minskningstakten bedöms vara nära gränsvärdet för sårbar (VU). Arten försvinner successivt framför allt vid dess utbredningsgränser och populationen har minskat kontinuerligt under 2000-talet. Lavskrika är typisk art för </w:t>
      </w:r>
      <w:r>
        <w:rPr>
          <w:i/>
        </w:rPr>
        <w:t>9010 Taiga</w:t>
      </w:r>
      <w:r>
        <w:t xml:space="preserve"> (SLU Artdatabanken, 2026).</w:t>
      </w:r>
    </w:p>
    <w:p>
      <w:pPr>
        <w:pStyle w:val="Heading2"/>
      </w:pPr>
      <w:r>
        <w:t>Referenser – lavskrika</w:t>
      </w:r>
    </w:p>
    <w:p>
      <w:r>
        <w:t xml:space="preserve">Skogsstyrelsen, 2016. </w:t>
      </w:r>
      <w:r>
        <w:rPr>
          <w:i/>
        </w:rPr>
        <w:t xml:space="preserve">Vägledning för hänsyn till fåglar – lavskrika. </w:t>
      </w:r>
      <w:r>
        <w:t>https://www.skogsstyrelsen.se/globalassets/lag-och-tillsyn/artskydd/vagledningar-for-hansyn-till-faglar/lavskrika-vagledning-hansyn.pdf</w:t>
      </w:r>
    </w:p>
    <w:p>
      <w:r>
        <w:t xml:space="preserve">SLU Artdatabanken, 2026. </w:t>
      </w:r>
      <w:r>
        <w:rPr>
          <w:i/>
        </w:rPr>
        <w:t xml:space="preserve">Artfaktablad. Naturvård – artfakta. </w:t>
      </w:r>
      <w:r>
        <w:t>SLU Artdatabanken, Uppsala</w:t>
      </w:r>
    </w:p>
    <w:p>
      <w:pPr>
        <w:pStyle w:val="Heading1"/>
      </w:pPr>
      <w:r>
        <w:t>Talltita – ekologi samt krav på livsmiljön</w:t>
      </w:r>
    </w:p>
    <w:p>
      <w:r>
        <w:t>Talltita är rödlistad som NT, fridlyst och prioriterad art i Skogsvårdslagen. Den omfattas av EU:s fågeldirektiv. Arten har minskat kraftigt de senaste 30 åren och minskningstakten innevarande 10-årsperiod beräknas till 20 (10–30) % (SLU Artdatabanken, 2022).</w:t>
      </w:r>
    </w:p>
    <w:p>
      <w:r>
        <w:t>Talltita föredrar större sammanhängande barrskogar, och finns såväl i tallskog som granskog och i lövblandad barrskog. Skogens struktur är viktig och ska helst vara flerskiktad med riklig underväxt av mindre granar, björk och andra lövträd och buskar. Tillgång på murknande högstubbar är särskilt viktig, eftersom talltitan helst själv hackar ut sitt bohål (SLU Artdatabanken, 2022).</w:t>
      </w:r>
    </w:p>
    <w:p>
      <w:r>
        <w:t>Det finns flera studier som visar att talltita är känslig för gallring och inte överlever när dess livsmiljö kalavverkas (Eggers and Low, 2014; Griesser et al., 2007; Klein, 2020). Talltitans revir är förhållandevis stora, 10–20 hektar och arten missgynnas när skogen fragmenteras. Kalavverkning av större delar av reviret innebär att det överges (Artdatabanken, 2021).</w:t>
      </w:r>
    </w:p>
    <w:p>
      <w:r>
        <w:t>Talltitan är synnerligen trogen sitt revir så länge paret lever och biotopen förblir intakt. Paret stannar i sitt revir året om. En förlust av ett revir har därför en stor inverkan på den lokala populationen och trakthyggesbruket anses vara orsak till den svenska populationens kraftiga minskning. Talltiteparets revirtrohet innebär att närhelst under året man observerar en adult talltita så ingår denna plats i reviret (Siffczyk et al., 2003; Ekman, 1979).</w:t>
      </w:r>
    </w:p>
    <w:p>
      <w:pPr>
        <w:pStyle w:val="Heading2"/>
      </w:pPr>
      <w:r>
        <w:t>Referenser – talltita</w:t>
      </w:r>
    </w:p>
    <w:p>
      <w:r>
        <w:t xml:space="preserve">Eggers, S., Low, M., 2014. </w:t>
      </w:r>
      <w:r>
        <w:rPr>
          <w:i/>
        </w:rPr>
        <w:t xml:space="preserve">Differential demographic responses of sympatric Parids to vegetation management in boreal forest. </w:t>
      </w:r>
      <w:r>
        <w:t>For. Ecol. Manage. 319, 169–175.</w:t>
      </w:r>
    </w:p>
    <w:p>
      <w:r>
        <w:t xml:space="preserve">Ekman, J., 1979. </w:t>
      </w:r>
      <w:r>
        <w:rPr>
          <w:i/>
        </w:rPr>
        <w:t xml:space="preserve">Coherence, composition and territories of winter social groups of the Willow Tit Parus montanus and the Crested Tit P. cristatus. </w:t>
      </w:r>
      <w:r>
        <w:t>Ornis Scandinavica, 10, pp 56–68</w:t>
      </w:r>
    </w:p>
    <w:p>
      <w:r>
        <w:t xml:space="preserve">Griesser, M., Nystrand, M., Eggers, S., Ekman, J., 2007. </w:t>
      </w:r>
      <w:r>
        <w:rPr>
          <w:i/>
        </w:rPr>
        <w:t xml:space="preserve">Impact of forestry practices on fitness correlates and population productivity in an open-nesting bird species. </w:t>
      </w:r>
      <w:r>
        <w:t>Conserv. Biol. 21, 767–774. https://doi.org/10.1111/j.1523- 1739.2007.00675.x</w:t>
      </w:r>
    </w:p>
    <w:p>
      <w:r>
        <w:t xml:space="preserve">Klein, J., 2020. </w:t>
      </w:r>
      <w:r>
        <w:rPr>
          <w:i/>
        </w:rPr>
        <w:t xml:space="preserve">The forgotten forest – On thinning, retention, and biodiversity in the boreal forest. </w:t>
      </w:r>
      <w:r>
        <w:t>Doctoral Thesis No. 2020:50</w:t>
      </w:r>
    </w:p>
    <w:p>
      <w:r>
        <w:t xml:space="preserve">Siffczyk, C., Brotons, L., Kangas, K., Orell, M., 2003. </w:t>
      </w:r>
      <w:r>
        <w:rPr>
          <w:i/>
        </w:rPr>
        <w:t xml:space="preserve">Home range size of willow tits. </w:t>
      </w:r>
      <w:r>
        <w:t>Oecologica, 136, 635–642 (2003)</w:t>
      </w:r>
    </w:p>
    <w:p>
      <w:r>
        <w:t xml:space="preserve">SLU Artdatabanken, 2021. </w:t>
      </w:r>
      <w:r>
        <w:rPr>
          <w:i/>
        </w:rPr>
        <w:t xml:space="preserve">Artfaktablad. Naturvård – artfakta. </w:t>
      </w:r>
      <w:r>
        <w:t>SLU Artdatabanken, Uppsala</w:t>
      </w:r>
    </w:p>
    <w:p>
      <w:pPr>
        <w:pStyle w:val="Heading1"/>
      </w:pPr>
      <w:r>
        <w:t>Tretåig hackspett – ekologi samt krav på livsmiljön</w:t>
      </w:r>
    </w:p>
    <w:p>
      <w:r>
        <w:t xml:space="preserve">Tretåig hackspett (NT) är fridlyst enligt §4 Artskyddsförordningen och finns med som prioriterad art i Skogsstyrelsen vägledning för skogsbruket (bilaga 4 till SVL). I vägledningen står bland annat att: </w:t>
      </w:r>
      <w:r>
        <w:rPr>
          <w:i/>
        </w:rPr>
        <w:t xml:space="preserve">“Tretåig hackspett har stora arealkrav och höga krav på sin livsmiljö. Omdaningen av naturskogar till kulturskogar medför en förlust av viktiga miljöer, något som förstärks av ökad fragmentering till följd av avverkningar.” </w:t>
      </w:r>
      <w:r>
        <w:t xml:space="preserve">Vidare att: </w:t>
      </w:r>
      <w:r>
        <w:rPr>
          <w:i/>
        </w:rPr>
        <w:t>“Områden med dokumenterad permanent förekomst i naturskogsmiljöer har vanligen så stora naturvärden att skogsbruk är olämpligt”</w:t>
      </w:r>
      <w:r>
        <w:t xml:space="preserve"> (SLU Artdatabanken, 2024; Skogsstyrelsen, 2016)</w:t>
      </w:r>
      <w:r>
        <w:rPr>
          <w:i/>
        </w:rPr>
        <w:t>.</w:t>
      </w:r>
    </w:p>
    <w:p>
      <w:r>
        <w:t>Tretåig hackspett är beroende av större sammanhängande naturskogar med kontinuerlig tillgång och nybildning av död ved och fragmentering av livsmiljöerna utgör ett stort hot mot arten (se exempelvis Stachura-Skierczynska et al., 2009; Wesolowski et al., 2005; Butler et al., 2004; Pakkala et al., 2002; Amcoff et al., 1996; Virkkala, 1991). Det finns studier som visar att naturskogens självgallringsprocess som den tretåiga hackspetten är beroende av, inte kan ersättas med efterlämnad hänsyn i skogsbruket (Imbeau &amp; Desrochers, 2002).</w:t>
      </w:r>
    </w:p>
    <w:p>
      <w:r>
        <w:t>Permanenta revir av tretåig hackspett karaktäriseras ofta av artens typiska ringformigt ordnade hackmärken på framför allt gamla granar. För att säkerställa att inte revir av tretåig hackspett drabbas av avverkningsplanerna bör en inventering göras i området både under häckningstid och under vintern, då arten utnyttjar betydligt större områden än under sommarens häckningsrevir. Storleken på häckningsreviret varierar med skogstypen, förekomsten av död ved och graden av fragmentering, men är i allmänhet i storleksordningen 25–100 hektar (SLU Artdatabanken, 2024; Skogsstyrelsen, 2016).</w:t>
      </w:r>
    </w:p>
    <w:p>
      <w:r>
        <w:t xml:space="preserve">Förutom fridlysning enligt §4 Artskyddsförordningen är tretåig hackspett även förtecknad i EU:s fågeldirektiv bilaga 1. Den är typisk art för </w:t>
      </w:r>
      <w:r>
        <w:rPr>
          <w:i/>
        </w:rPr>
        <w:t xml:space="preserve">9010 Taiga, 9740 Skogsbevuxen myr, 9030 Landhöjningsskog </w:t>
      </w:r>
      <w:r>
        <w:t xml:space="preserve">och </w:t>
      </w:r>
      <w:r>
        <w:rPr>
          <w:i/>
        </w:rPr>
        <w:t>9040 Fjällbjörkskog</w:t>
      </w:r>
      <w:r>
        <w:t xml:space="preserve"> samt ingår i Natura 2000 och är förtecknad i Bernkonventionen bilaga II (strikt skyddade djurarter) (SLU Artdatabanken, 2024; Skogsstyrelsen, 2016).</w:t>
      </w:r>
    </w:p>
    <w:p>
      <w:pPr>
        <w:pStyle w:val="Heading2"/>
      </w:pPr>
      <w:r>
        <w:t>Referenser – tretåig hackspett</w:t>
      </w:r>
    </w:p>
    <w:p>
      <w:r>
        <w:t xml:space="preserve">Amcoff, M. &amp; Eriksson, P. 1996. </w:t>
      </w:r>
      <w:r>
        <w:rPr>
          <w:i/>
        </w:rPr>
        <w:t xml:space="preserve">Förekomst av tretåig hackspett Picoides tridactylus på bestånds- och landskapsnivå. </w:t>
      </w:r>
      <w:r>
        <w:t>Ornis Svecica 6: 107–119.</w:t>
      </w:r>
    </w:p>
    <w:p>
      <w:r>
        <w:t xml:space="preserve">Butler, R., Angelstam, P., Ekelund, P. &amp; Schlaeffer, R. 2004. </w:t>
      </w:r>
      <w:r>
        <w:rPr>
          <w:i/>
        </w:rPr>
        <w:t xml:space="preserve">Dead wood threshold values for the three-toed woodpecker presence in boreal and sub-Alpine forest. </w:t>
      </w:r>
      <w:r>
        <w:t>Biological conservation 119(3): 305–318.</w:t>
      </w:r>
    </w:p>
    <w:p>
      <w:r>
        <w:t xml:space="preserve">Imbeau, L. &amp; Desrochers, A. 2002. </w:t>
      </w:r>
      <w:r>
        <w:rPr>
          <w:i/>
        </w:rPr>
        <w:t xml:space="preserve">Foraging Ecology and Use of Drumming Trees by Three-Toed Woodpeckers. </w:t>
      </w:r>
      <w:r>
        <w:t>The Journal of Wildlife Management. Vol. 66, No. 1 (Jan., 2002), pp. 222–231.</w:t>
      </w:r>
    </w:p>
    <w:p>
      <w:r>
        <w:t xml:space="preserve">Pakkala, T., Hanski, I. &amp; Tomppo, E. 2002. </w:t>
      </w:r>
      <w:r>
        <w:rPr>
          <w:i/>
        </w:rPr>
        <w:t xml:space="preserve">Spatial ecology of the three-toed woodpecker in managed forest landscapes. </w:t>
      </w:r>
      <w:r>
        <w:t>Silva Fennica 36(1): 279–288.</w:t>
      </w:r>
    </w:p>
    <w:p>
      <w:r>
        <w:t xml:space="preserve">Skogsstyrelsen, 2016. </w:t>
      </w:r>
      <w:r>
        <w:rPr>
          <w:i/>
        </w:rPr>
        <w:t>Vägledning för hänsyn till fåglar – Tretåig hackspett.</w:t>
      </w:r>
    </w:p>
    <w:p>
      <w:r>
        <w:t xml:space="preserve">SLU Artdatabanken, 2024. </w:t>
      </w:r>
      <w:r>
        <w:rPr>
          <w:i/>
        </w:rPr>
        <w:t xml:space="preserve">Artfaktablad. Naturvård – artfakta. </w:t>
      </w:r>
      <w:r>
        <w:t>SLU Artdatabanken, Uppsala.</w:t>
      </w:r>
    </w:p>
    <w:p>
      <w:r>
        <w:t xml:space="preserve">Stachura-Skierczynska, K., Tumiel, T. &amp; Skierczynski, M. 2009. </w:t>
      </w:r>
      <w:r>
        <w:rPr>
          <w:i/>
        </w:rPr>
        <w:t xml:space="preserve">Habitat prediction model for three-toed woodpecker and its implications for the conservation of biologically valuable forests. </w:t>
      </w:r>
      <w:r>
        <w:t>Forest Ecology and Management 258(5): 697–703.</w:t>
      </w:r>
    </w:p>
    <w:p>
      <w:r>
        <w:t xml:space="preserve">Virkkala, R. 1991. </w:t>
      </w:r>
      <w:r>
        <w:rPr>
          <w:i/>
        </w:rPr>
        <w:t xml:space="preserve">Population trends of forest birds in a Finnish Lapland landscape of large habitat blocks – Consequences of stochastic environmental variation or regional habitat alteration. </w:t>
      </w:r>
      <w:r>
        <w:t>Biological conservation 56(2): 223–240.</w:t>
      </w:r>
    </w:p>
    <w:p>
      <w:r>
        <w:t xml:space="preserve">Wesolowski, T., Czeszczewik, D. &amp; Rowinski, P. 2005. </w:t>
      </w:r>
      <w:r>
        <w:rPr>
          <w:i/>
        </w:rPr>
        <w:t xml:space="preserve">Effects of forest management on Three-toed Woodpecker Picoides tridactylus distribution in the Bialowieza Forest (NE Poland): conservation implications. </w:t>
      </w:r>
      <w:r>
        <w:t>Acta Ornithologica 40(1): 53–60.</w:t>
      </w:r>
    </w:p>
    <w:p>
      <w:pPr>
        <w:pStyle w:val="Heading1"/>
      </w:pPr>
      <w:r>
        <w:t>Tallbit – ekologi samt krav på livsmiljön</w:t>
      </w:r>
    </w:p>
    <w:p>
      <w:r>
        <w:t xml:space="preserve">Tallbit (§4) är typisk art för </w:t>
      </w:r>
      <w:r>
        <w:rPr>
          <w:i/>
        </w:rPr>
        <w:t>9010 Taiga</w:t>
      </w:r>
      <w:r>
        <w:t xml:space="preserve"> och prioriterad art enligt Skogsvårdslagen. Den förekommer från norra Dalarna och norrut genom de inre delarna av Norrland, norrut till norra Norrbotten. Tallbiten ställer höga krav på sin livsmiljö och permanent förekomst av häckande tallbit finns huvudsakligen i gammal grandominerad barrblandskog av naturskogskaraktär med inslag av björk, gråal, rönn och viden, påfallande ofta i områden med inslag av myrmark och små vattendrag. Reviren är relativt stora (12–75 hektar enligt befintliga studier) och arten saknas i områden med storskaligt skogsbruk med hög andel stora hyggen och täta ungskogar. Områden med dokumenterad permanent förekomst har ofta så stora naturvärden att skogsbruk är olämpligt (SLU Artdatabanken, 2026; Skogsstyrelsen, 2016).</w:t>
      </w:r>
    </w:p>
    <w:p>
      <w:r>
        <w:t>Arealerna grandominerad naturskog har i stora delar av landet blivit allt för små, och bestånden är dessutom i många fall allt för isolerade, för att kunna upprätthålla stabila populationer. Omdaningen av naturskogsartad skog till produktionsskog medför en förlust av viktiga häckningsmiljöer, något som förstärks av ökad fragmentering av kvarvarande naturskogsartade bestånd. Områden med dokumenterad permanent förekomst i naturskogsmiljöer kan ha så stora naturvärden att de bör bli föremål för områdesskydd eller naturvårdsavsättningar (Skogsstyrelsen, 2016).</w:t>
      </w:r>
    </w:p>
    <w:p>
      <w:r>
        <w:t>Tallbiten flyttar normalt endast begränsade sträckor inom norra barrskogsregionen och de flesta vintrar ses den endast i mycket liten omfattning utanför häckningsområdet. Med långa och oregelbundna mellanrum uppträder tallbiten invasionsaktigt och i samband med sådana rörelser kan den observeras i stora delar av Sverige (SLU Artdatabanken, 2026).</w:t>
      </w:r>
    </w:p>
    <w:p>
      <w:pPr>
        <w:pStyle w:val="Heading2"/>
      </w:pPr>
      <w:r>
        <w:t>Referenser – tallbit</w:t>
      </w:r>
    </w:p>
    <w:p>
      <w:r>
        <w:t xml:space="preserve">Skogsstyrelsen, 2016. </w:t>
      </w:r>
      <w:r>
        <w:rPr>
          <w:i/>
        </w:rPr>
        <w:t xml:space="preserve">Vägledning för hänsyn till tallbit. </w:t>
      </w:r>
      <w:r>
        <w:t>Vägledningar och kunskapsstöd artskydd - Skogsstyrelsen</w:t>
      </w:r>
    </w:p>
    <w:p>
      <w:r>
        <w:t>SLU Artdatabanken, 2026.</w:t>
      </w:r>
      <w:r>
        <w:rPr>
          <w:i/>
        </w:rPr>
        <w:t xml:space="preserve"> Artfakta: tallbit (Pinicola enucleator).</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2026-10-29</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