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39315-2026 i Åre kommun</w:t>
      </w:r>
    </w:p>
    <w:p>
      <w:r>
        <w:t>Denna tillsynsbegäran behandlar höga naturvärden i avverkningsanmälan A 39315-2026 i Åre kommun som inkom 2026-09-23 och omfattar 2,6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9315-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7017307, E 431103 i SWEREF 99 TM.</w:t>
      </w:r>
    </w:p>
    <w:p>
      <w:r>
        <w:t>I och inom 11 meter från avverkningsanmälan finns fynd av 8 naturvårdsarter, varav 7 är rödlistade, 2 är fridlysta och 6 är typiska (T): garnlav (VU, T), mindre barkplattbagge (VU), kattfotslav (NT, T), rosenticka (NT, T), rynkskinn (NT, T), tretåig hackspett (NT, T, §4), ullticka (NT, T) och talltita x tofsmes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Mindre barkplattbagge (VU) </w:t>
      </w:r>
      <w:r>
        <w:t>påträffas främst i gamla, senvuxna lavgranskogar med rikligt av död ved. Dess larvutveckling sker under barken på granlågor med tunn bark (barktjocklek 1–6 mm), ofta i toppartiet av granlågor. Arten hotas av storskaligt skogsbruk, då det ofta medför minskad tillgång på granlågor, ändrat trädslagsval och snabbare omloppstid. Naturskogsliknande granbestånd med riklig förekomst av lågor bör undantas från skogsbruk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