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som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18 naturvårdsarter hittats: grönfink (VU, §4), doftskinn (NT, T), järnsparv (NT, §4), ladusvala (NT, §4), rynkskinn (NT, T), skogshare (NT), talltita (NT, §4), tretåig hackspett (NT, T, §4), älg (NT), korallrot (S, T, §8), ögonpyrola (S, T), gråspett (T, §4), tjäder (T, §4), grönsiska (§4), kråka (§4), kungsfågel (§4), svartvit flugsnappare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9287" cy="5688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2928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7011820, E 402419 i SWEREF 99 TM.</w:t>
      </w:r>
    </w:p>
    <w:p>
      <w:pPr>
        <w:pStyle w:val="Heading2"/>
      </w:pPr>
      <w:r>
        <w:t>Fridlysta arter</w:t>
      </w:r>
    </w:p>
    <w:p>
      <w:r>
        <w:t>Följande fridlysta arter har sina livsmiljöer och växtplatser i den avverkningsanmälda skogen: grönfink (VU, §4), järnsparv (NT, §4), ladusvala (NT, §4), talltita (NT, §4), tretåig hackspett (NT, T, §4), korallrot (S, T, §8), gråspett (T, §4), tjäder (T, §4), grönsiska (§4), kråka (§4), kungsfågel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