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47880-2025 i Åre kommun</w:t>
      </w:r>
    </w:p>
    <w:p>
      <w:r>
        <w:t>Detta klagomål behandlar höga naturvärden i avverkningsanmälan A 47880-2025 i Åre kommun som inkom 2025-10-02 och omfattar 25,8 ha.</w:t>
      </w:r>
    </w:p>
    <w:p>
      <w:pPr>
        <w:pStyle w:val="Caption"/>
      </w:pPr>
      <w:r>
        <w:drawing>
          <wp:inline xmlns:a="http://schemas.openxmlformats.org/drawingml/2006/main" xmlns:pic="http://schemas.openxmlformats.org/drawingml/2006/picture">
            <wp:extent cx="5026803" cy="5724000"/>
            <wp:docPr id="1" name="Picture 1"/>
            <wp:cNvGraphicFramePr>
              <a:graphicFrameLocks noChangeAspect="1"/>
            </wp:cNvGraphicFramePr>
            <a:graphic>
              <a:graphicData uri="http://schemas.openxmlformats.org/drawingml/2006/picture">
                <pic:pic>
                  <pic:nvPicPr>
                    <pic:cNvPr id="0" name="A 47880-2025 karta.png"/>
                    <pic:cNvPicPr/>
                  </pic:nvPicPr>
                  <pic:blipFill>
                    <a:blip r:embed="rId16"/>
                    <a:stretch>
                      <a:fillRect/>
                    </a:stretch>
                  </pic:blipFill>
                  <pic:spPr>
                    <a:xfrm>
                      <a:off x="0" y="0"/>
                      <a:ext cx="5026803" cy="5724000"/>
                    </a:xfrm>
                    <a:prstGeom prst="rect"/>
                  </pic:spPr>
                </pic:pic>
              </a:graphicData>
            </a:graphic>
          </wp:inline>
        </w:drawing>
      </w:r>
    </w:p>
    <w:p>
      <w:pPr>
        <w:pStyle w:val="Caption"/>
        <w:spacing w:after="240"/>
      </w:pPr>
      <w:r>
        <w:t>Figur 1. Fyndplatser för naturvårdsarter i och inom 21 meter från avverkningsanmälan. Markörer utan svart kant är placerade på fyndplatsen. Markörer med svart kant är placerade vid sidan av fyndplatsen och har ett svart streck som visar fyndplatsens exakta position. Kartans mittpunktskoordinat är N 7049967, E 425634 i SWEREF 99 TM.</w:t>
      </w:r>
    </w:p>
    <w:p>
      <w:r>
        <w:t>I och inom 21 meter från avverkningsanmälan finns fynd av 46 naturvårdsarter, varav 30 är rödlistade, 5 är fridlysta, 28 är typiska (T) och 14 är signalarter (S): amerikansk sönderfallslav (VU), Cliostomum piceicola (VU), garnlav (VU, T), grantickeporing (VU), gränsticka (VU, T), liten sotlav (VU, T), mjölig dropplav (VU), norsk näverlav (VU), skuggnål (VU), vitskaftad svartspik (VU, T), brun svartspik (NT), brunpudrad nållav (NT, T), doftskinn (NT, T), gammelgransskål (NT, T), harticka (NT, T), kavernularia (NT), lavskrika (NT, T, §4), liten svartspik (NT), lunglav (NT, T), nordlig nållav (NT), rödbrun blekspik (NT, T), skrovellav (NT, T), talltita (NT, §4), tretåig hackspett (NT, T, §4), ullticka (NT, T), vedflikmossa (NT), vedtrappmossa (NT, T), vitgrynig nållav (NT), Miriquidica majae (DD), Protoparmelia ochrococca (DD), barkkornlav (S, T), gulnål (S, T), källmossa (S), källpraktmossa (S, T), kärrkammossa (S, T), mörk husmossa (S, T), norrlandslav (S, T), rostfläck (S, T), skogshakmossa (S, T), stuplav (S, T), svavelriska (S), trådfräken (S), trådticka (S, T), vedticka (S, T), spillkråka (T, §4) och tallbit (T, §4).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 xml:space="preserve">Amerikansk sönderfallslav (VU) </w:t>
      </w:r>
      <w:r>
        <w:t>är en synnerligen ovanlig lav som växer på gamla sälgar och granar i naturskog med mycket hög och jämn luftfuktighet. Avverkning av kontinuitetsskog samt ändringar av lokalklimatet som medför en minskning av luftfuktigheten hotar arten. Områden med amerikansk sönderfallslav måste skyddas (SLU Artdatabanken, 2024).</w:t>
      </w:r>
    </w:p>
    <w:p>
      <w:r>
        <w:rPr>
          <w:b/>
          <w:i/>
        </w:rPr>
        <w:t>Cliostomum piceicola</w:t>
      </w:r>
      <w:r>
        <w:rPr>
          <w:b/>
        </w:rPr>
        <w:t xml:space="preserve"> (VU) </w:t>
      </w:r>
      <w:r>
        <w:t>är en nyligen beskriven dropplav (2017) som huvudsakligen växer på gamla senvuxna granar i kontinuitetsskogar med hög luftfuktighet i Skandinavien och Ryssland. Avverkning av kontinuitetsskog är ett hot (SLU Artdatabanken, 2024; Holien &amp; Tønsberg, 2017).</w:t>
      </w:r>
    </w:p>
    <w:p>
      <w:r>
        <w:rPr>
          <w:b/>
        </w:rPr>
        <w:t>Garnlav (VU)</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Minskningstakten uppgår till 30 (20–50) % inom 50 år och överstiger gränsvärdet för Sårbar (VU). Orsaken till tillbakagången beror främst på slutavverkningar av naturskogsartade skogar. Bestånd med riklig förekomst bör regelmässigt sparas, vilket även gynnar flera andra sällsynta och rödlistade arter.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Garnlav är typisk art för </w:t>
      </w:r>
      <w:r>
        <w:rPr>
          <w:i/>
        </w:rPr>
        <w:t xml:space="preserve">9010 Taiga </w:t>
      </w:r>
      <w:r>
        <w:t>och</w:t>
      </w:r>
      <w:r>
        <w:rPr>
          <w:i/>
        </w:rPr>
        <w:t xml:space="preserve"> 9070 Trädklädd betesmark</w:t>
      </w:r>
      <w:r>
        <w:t xml:space="preserve"> (SLU Artdatabanken, 2026).</w:t>
      </w:r>
    </w:p>
    <w:p>
      <w:r>
        <w:rPr>
          <w:b/>
        </w:rPr>
        <w:t>Grantickeporing (VU)</w:t>
      </w:r>
      <w:r>
        <w:t xml:space="preserve"> växer på murken ved och döda fruktkroppar av granticka och gränsticka (VU). Den förekommer i naturskogsliknade granskogar, gärna i fuktiga miljöer vid källbäckar och liknande. Avverkning av naturskogslika miljöer och av grova granar där grantickeporing förekommer är ett direkt hot mot artens fortlevnad. Gamla granskogar som hyser arten undantas helt från skogsbruk (SLU Artdatabanken, 2026).</w:t>
      </w:r>
    </w:p>
    <w:p>
      <w:r>
        <w:rPr>
          <w:b/>
        </w:rPr>
        <w:t>Gränsticka (VU)</w:t>
      </w:r>
      <w:r>
        <w:t xml:space="preserve"> är en mycket bra signalart inom hela sitt utbredningsområde. Den är huvudsakligen knuten till restbestånd av barrnaturskog och förekommer med ett tydligt optimum i orörda eller måttligt påverkade gamla granskogar där det föreligger långvarig kontinuitet av grov död ved. Den totala populationen bedöms ha minskat och fortsätter att minska i takt med att grankontinuitetsskogar (äldre tidigare icke kalavverkade skogar) minskar i areal. Minskningstakten överstiger gränsvärdet för sårbar (VU). Lokaler som hyser arten bör undantas från skogsbruk, speciellt i mellersta och södra Sverige. Gränsticka är typisk art för </w:t>
      </w:r>
      <w:r>
        <w:rPr>
          <w:i/>
        </w:rPr>
        <w:t>9010 Taiga</w:t>
      </w:r>
      <w:r>
        <w:t xml:space="preserve"> (SLU Artdatabanken, 2026; Nitare &amp; Skogsstyrelsen, 2019).</w:t>
      </w:r>
    </w:p>
    <w:p>
      <w:r>
        <w:rPr>
          <w:b/>
        </w:rPr>
        <w:t>Liten sotlav (VU)</w:t>
      </w:r>
      <w:r>
        <w:t xml:space="preserve"> förekommer i gamla brandrefugiala boreala granskogar där den oftast påträffas på grovbarkiga, senvuxna, mycket gamla granar. Arten är en av de mest krävande arterna i fuktig grannaturskog och är placerad högst upp i Skogsstyrelsens värdepyramid för bedömning av skog med höga naturvärden. Samtliga förekomster bör skyddas. Liten sotlav är typisk art för </w:t>
      </w:r>
      <w:r>
        <w:rPr>
          <w:i/>
        </w:rPr>
        <w:t>9010 Taiga</w:t>
      </w:r>
      <w:r>
        <w:t xml:space="preserve"> (SLU Artdatabanken, 2024; Nitare &amp; Skogsstyrelsen, 2019).</w:t>
      </w:r>
    </w:p>
    <w:p>
      <w:r>
        <w:rPr>
          <w:b/>
        </w:rPr>
        <w:t>Mjölig dropplav (VU)</w:t>
      </w:r>
      <w:r>
        <w:t xml:space="preserve"> växer på gamla granar i boreala granskogar med lång trädkontinuitet och hög luftfuktighet. Avverkning liksom även kraftig utglesning av skog på eller i omedelbar närhet av lokalerna utgör ett hot. Bördiga sumpgranskogar med hög och jämn luftfuktighet bör inte avverkas (SLU Artdatabanken, 2026).</w:t>
      </w:r>
    </w:p>
    <w:p>
      <w:r>
        <w:rPr>
          <w:b/>
        </w:rPr>
        <w:t>Norsk näverlav (VU)</w:t>
      </w:r>
      <w:r>
        <w:t>, rödlistad som sårbar, är en suboceanisk art och påträffas bara i områden med hög och jämn luftfuktighet. Den växer i fuktiga granskogar, främst på stammar eller grenar av äldre björkar och granar. Arten är placerad i toppen av Skogsstyrelsens värdepyramid för bedömning av skog med höga naturvärden och försvinner eller missgynnas starkt vid all form av avverkning på eller i anslutning till lokalerna. Norsk näverlav har en hög andel av sin världspopulation i Norge och Sverige vilket medför ett särskilt ansvar för arten (Nitare &amp; Skogsstyrelsen, 2019; SLU Artdatabanken, 2024).</w:t>
      </w:r>
    </w:p>
    <w:p>
      <w:r>
        <w:rPr>
          <w:b/>
        </w:rPr>
        <w:t xml:space="preserve">Skuggnål (VU) </w:t>
      </w:r>
      <w:r>
        <w:t>växer främst vid basen av gamla grova granar i gamla boreala barrskogar med hög bonitet och mycket hög luftfuktighet. Minskningstakten har uppgått till 30 (20–50) % under de senaste 50 åren och överstiger gränsvärdet för Sårbar (VU) enligt A-kriteriet. (A2bc+4bc). Vid skogliga inventeringar är skuggnål en art som måste eftersökas och dess växtplatser ska bedömas som nyckelbiotoper (SLU Artdatabanken, 2024).</w:t>
      </w:r>
    </w:p>
    <w:p>
      <w:r>
        <w:rPr>
          <w:b/>
        </w:rPr>
        <w:t>Vitskaftad svartspik (VU)</w:t>
      </w:r>
      <w:r>
        <w:t xml:space="preserve"> förekommer främst i naturskog på gamla senvuxna granar och signalerar alltid höga naturvärden. Alla skogliga åtgärder som kan påverka markvatten och luftfuktighet på i närheten av lokaler utgör ett hot. Avverkning av naturskogar utgör ett allvarligt hot och alla skogsskötselåtgärder på eller i närheten av växtplatserna bör undvikas. Lämpligt stora reservat av naturskogstyp bör bevaras. Vitskaftad svartspik är typisk art för </w:t>
      </w:r>
      <w:r>
        <w:rPr>
          <w:i/>
        </w:rPr>
        <w:t>9010 Taiga</w:t>
      </w:r>
      <w:r>
        <w:t xml:space="preserve"> (SLU Artdatabanken, 2026; Nitare &amp; Skogsstyrelsen, 2019).</w:t>
      </w:r>
    </w:p>
    <w:p>
      <w:r>
        <w:rPr>
          <w:b/>
        </w:rPr>
        <w:t>Brun svartspik (NT)</w:t>
      </w:r>
      <w:r>
        <w:t xml:space="preserve"> är en lavparasit som växer på bålen av grå nållav, men är avsevärt ovanligare än värdarten och förekommer bara i kontinuitetsskog och fuktig gammelskog. Minskningstakten uppgår till 20 (10–40) % inom 50 år och bedöms vara nära gränsvärdet för Sårbar (VU) (SLU Artdatabanken, 2026).</w:t>
      </w:r>
    </w:p>
    <w:p>
      <w:r>
        <w:rPr>
          <w:b/>
        </w:rPr>
        <w:t>Brunpudrad nållav (NT)</w:t>
      </w:r>
      <w:r>
        <w:t xml:space="preserve"> är beroende av hög, jämn luftfuktighet och kan påträffas i fuktiga skogar av naturskogskaraktär, ofta i sumpgranskog eller andra sumpskogar. Arten är placerad högst upp i Skogsstyrelsens värdepyramid för bedömning av skog med höga naturvärden och förekomster bör undantas från skogsbruksåtgärder. Brunpudrad nållav är typisk art för </w:t>
      </w:r>
      <w:r>
        <w:rPr>
          <w:i/>
        </w:rPr>
        <w:t>9010 Taiga</w:t>
      </w:r>
      <w:r>
        <w:t xml:space="preserve"> (SLU Artdatabanken, 2024; Nitare &amp; Skogsstyrelsen, 2019).</w:t>
      </w:r>
    </w:p>
    <w:p>
      <w:r>
        <w:rPr>
          <w:b/>
        </w:rPr>
        <w:t>Doftskinn (NT)</w:t>
      </w:r>
      <w:r>
        <w:t xml:space="preserve">, rödlistad som nära hotad, är en mycket bra signalart för boreal granskog och indikerar ett gran-skogsekosystem med lång kontinuitet av grova lågor. Arten är placerad i toppen av Skogsstyrelsens värdepyramid för bedömning av skog med höga naturvärden och har klassats som en “urskogsindikator”, då den förekommer med ett tydligt optimum i helt eller nästan helt orörda skogar. Doftskinn är typisk art för </w:t>
      </w:r>
      <w:r>
        <w:rPr>
          <w:i/>
        </w:rPr>
        <w:t xml:space="preserve">9010 Taiga </w:t>
      </w:r>
      <w:r>
        <w:t>(SLU Artdatabanken, 2025; Nitare &amp; Skogsstyrelsen, 2019).</w:t>
      </w:r>
    </w:p>
    <w:p>
      <w:r>
        <w:rPr>
          <w:b/>
        </w:rPr>
        <w:t>Gammelgransskål (NT)</w:t>
      </w:r>
      <w:r>
        <w:t xml:space="preserve"> är en liten skålsvamp som växer på gamla granar med skrovlig bark. Typiska växtplatser är gransumpskog i myrkanter, bäckdråg, bäckraviner och skuggiga bergssluttningar, men också skog på torrare mark kan hysa arten om beståndet har stark naturskogskaraktär. Bestånd med arten bör behandlas som nyckelbiotoper och sparas vid en slutavverkning. Även gallring bör undvikas. Gammelgransskål är typisk art för </w:t>
      </w:r>
      <w:r>
        <w:rPr>
          <w:i/>
        </w:rPr>
        <w:t>9010 Taiga</w:t>
      </w:r>
      <w:r>
        <w:t xml:space="preserve"> (SLU Artdatabanken, 2024; Nitare &amp; Skogsstyrelsen, 2019).</w:t>
      </w:r>
    </w:p>
    <w:p>
      <w:r>
        <w:rPr>
          <w:b/>
        </w:rPr>
        <w:t>Harticka (NT)</w:t>
      </w:r>
      <w:r>
        <w:t xml:space="preserve"> är normalt en mycket bra signalart för granskogar med höga naturvärden. Även när svampen påträffas i mer påverkade skogar är det nästan alltid fråga om skogsmiljöer i sena successionsstadier med höga naturvärden. Skogsskötselåtgärder på eller i omedelbar närhet av växtplatserna kan innebära ett hot mot arten. Harticka är typisk art för </w:t>
      </w:r>
      <w:r>
        <w:rPr>
          <w:i/>
        </w:rPr>
        <w:t xml:space="preserve">9010 Taiga, 9050 Näringsrik granskog </w:t>
      </w:r>
      <w:r>
        <w:t xml:space="preserve">och </w:t>
      </w:r>
      <w:r>
        <w:rPr>
          <w:i/>
        </w:rPr>
        <w:t>9030 Landhöjningsskog</w:t>
      </w:r>
      <w:r>
        <w:t xml:space="preserve"> (SLU Artdatabanken, 2024; Nitare &amp; Skogsstyrelsen, 2019).</w:t>
      </w:r>
    </w:p>
    <w:p>
      <w:r>
        <w:rPr>
          <w:b/>
        </w:rPr>
        <w:t>Kavernularia (NT)</w:t>
      </w:r>
      <w:r>
        <w:t xml:space="preserve"> är en rikligt förgrenad bladlav, som på den svarta undersidan har rikligt med karaktäristiska små håligheter, s. k. cavernulae. Den växer på de nedre tunna grenarna av gran i halvöppna gamla granskogar i områden av Jämtland och Åsele Lappmark med ett suboceaniskt klimat. Avverkning av kontinuitetsskogar med hög och jämn luftfuktighet är ett hot. Flera områden med kavernularia måste skyddas (SLU Artdatabanken, 2024).</w:t>
      </w:r>
    </w:p>
    <w:p>
      <w:r>
        <w:rPr>
          <w:b/>
        </w:rPr>
        <w:t>Lavskrika (NT, §4)</w:t>
      </w:r>
      <w:r>
        <w:t xml:space="preserve"> är rödlistad som nära hotad och fridlyst enligt 4§ artskyddsförordningen. Den har minskat med 20 (10–30) % under de senaste 15 åren och minskningstakten bedöms vara nära gränsvärdet för sårbar (VU). Lavskrikan är en mycket stationär fågel, som häckar i äldre, slutna och hänglavsrika barrskogar. Nyckelfaktorer är flerskiktad skog med rik undervegetation samt riklig förekomst av hänglavar. Reviren är livslånga med hemområden som varierar mellan 50 och 150 ha. Inom ett revir av hög kvalitet finns det som regel ett eller flera kärnområden (1–20 ha) med relativt tät flerskiktad granskog. Arten missgynnas när flerskiktad skog omförs till enskiktade bestånd och även röjning och hård gallring är starkt negativt. Lavskrikan har relativt stora hemområden och försvinner när den äldre skogen fragmenteras, särskilt allvarligt är när kärnområdena avverkas. Den försvinner successivt framför allt vid dess utbredningsgränser och populationen har minskat kontinuerligt under 2000-talet. Lavskrika är typisk art för </w:t>
      </w:r>
      <w:r>
        <w:rPr>
          <w:i/>
        </w:rPr>
        <w:t>9010 Taiga</w:t>
      </w:r>
      <w:r>
        <w:t xml:space="preserve"> (SLU Artdatabanken, 2026; Skogsstyrelsen 2016).</w:t>
      </w:r>
    </w:p>
    <w:p>
      <w:r>
        <w:rPr>
          <w:b/>
        </w:rPr>
        <w:t>Liten svartspik (NT)</w:t>
      </w:r>
      <w:r>
        <w:t xml:space="preserve"> växer på granbark i boreala barrskogar med lång trädkontinuitet och hög luftfuktighet. Orsaken till tillbakagången beror på främst på slutavverkningar av naturskogsartade granskogar. Bestånd med riklig förekomst av liten svartspik bör regelmässigt sparas. Naturhänsyn i samband med slutavverkning måste ske så att man undviker uttorkningseffekter (SLU Artdatabanken, 2024).</w:t>
      </w:r>
    </w:p>
    <w:p>
      <w:r>
        <w:rPr>
          <w:b/>
        </w:rPr>
        <w:t>Lunglav (NT)</w:t>
      </w:r>
      <w:r>
        <w:t xml:space="preserve"> är en av vårt lands främsta signalarter som överallt indikerar gamla lövträd, skogsbestånd med höga naturvärden och ekosystem med långskoglig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På lunglav kan de sällsynta lavparasiterna lunglavshårprick (CR), </w:t>
      </w:r>
      <w:r>
        <w:rPr>
          <w:i/>
        </w:rPr>
        <w:t>Abrothallus diederichii</w:t>
      </w:r>
      <w:r>
        <w:t xml:space="preserve"> (VU), </w:t>
      </w:r>
      <w:r>
        <w:rPr>
          <w:i/>
        </w:rPr>
        <w:t>Abrothallus lobariae</w:t>
      </w:r>
      <w:r>
        <w:t xml:space="preserve"> (VU), </w:t>
      </w:r>
      <w:r>
        <w:rPr>
          <w:i/>
        </w:rPr>
        <w:t>Calycina lobariae</w:t>
      </w:r>
      <w:r>
        <w:t xml:space="preserve"> (VU), lunglavsknapp (VU) och skrovelmössing (VU) påträffas. 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2026; Nitare &amp; Skogsstyrelsen, 2019).</w:t>
      </w:r>
    </w:p>
    <w:p>
      <w:r>
        <w:rPr>
          <w:b/>
        </w:rPr>
        <w:t>Nordlig nållav (NT)</w:t>
      </w:r>
      <w:r>
        <w:t xml:space="preserve"> signalerar alltid miljöer med höga naturvärden. På lokalerna förekommer nästan alltid andra rödlistade eller ovanliga arter knutna till gamla skogar. Alla skogsskötselåtgärder på eller i omedelbar närhet av lokalerna utgör ett hot. Några av lavens rikaste förekomster bör skyddas (SLU Artdatabanken, 2024; Nitare &amp; Skogsstyrelsen, 2019).</w:t>
      </w:r>
    </w:p>
    <w:p>
      <w:r>
        <w:rPr>
          <w:b/>
        </w:rPr>
        <w:t>Rödbrun blekspik (NT)</w:t>
      </w:r>
      <w:r>
        <w:t xml:space="preserve"> växer i norra Sverige på bark och ved av björk och gran i skogar med hög och jämn luftfuktighet. I södra Sverige växer den främst på ek i öppna åldriga lövskogar. I norra delen av sitt utbredningsområde hotas arten av slutavverkningar av gamla granskogar. I den södra delen av landet hotas den genom de åldriga lövskogarnas tillbakagång och särskilt ekhagarnas igenväxning och genom plantering av sådan mark med barrskog. Rödbrun blekspik är typisk art för </w:t>
      </w:r>
      <w:r>
        <w:rPr>
          <w:i/>
        </w:rPr>
        <w:t xml:space="preserve">9010 Taiga, 9020 Nordlig ädellövskog, 9070 Trädklädd betesmark, 9160 Näringsrik ekskog </w:t>
      </w:r>
      <w:r>
        <w:t xml:space="preserve">och </w:t>
      </w:r>
      <w:r>
        <w:rPr>
          <w:i/>
        </w:rPr>
        <w:t>9180 Ädellövskog i branter</w:t>
      </w:r>
      <w:r>
        <w:t xml:space="preserve"> och signalerar alltid höga naturvärden (SLU Artdatabanken, 2024; Nitare &amp; Skogsstyrelsen, 2019).</w:t>
      </w:r>
    </w:p>
    <w:p>
      <w:r>
        <w:rPr>
          <w:b/>
        </w:rPr>
        <w:t>Skrovellav (NT)</w:t>
      </w:r>
      <w:r>
        <w:t xml:space="preserve"> växer på gamla lövträd och på klippor i gamla skogar med hög och jämn luftfuktighet. Slutavverkning av kontinuitetsskog utgör det största hotet och lavens fortsatta förekomst bör säkerställas genom att lokaler med äldre skog skyddas. I områden med mycket hög luftfuktighet kan man på bålen av skrovellav finna de sällsynta parasitsvamparna skrovellavsknapp (EN), </w:t>
      </w:r>
      <w:r>
        <w:rPr>
          <w:i/>
        </w:rPr>
        <w:t>Catillaria lobariicola</w:t>
      </w:r>
      <w:r>
        <w:t xml:space="preserve"> (VU) och </w:t>
      </w:r>
      <w:r>
        <w:rPr>
          <w:i/>
        </w:rPr>
        <w:t>Merismatium lobariae</w:t>
      </w:r>
      <w:r>
        <w:t xml:space="preserve"> (DD). Skrovellav är typisk art för </w:t>
      </w:r>
      <w:r>
        <w:rPr>
          <w:i/>
        </w:rPr>
        <w:t xml:space="preserve">9010 Taiga, 9020 Nordlig ädellövskog, 9040 Fjällbjörkskog, 9070 Trädklädd betesmark, 9160 Näringsrik ekskog, 9180 Ädellövskog i branter, 9190 Näringsfattig ekskog, 8210 Kalkbranter </w:t>
      </w:r>
      <w:r>
        <w:t xml:space="preserve">och </w:t>
      </w:r>
      <w:r>
        <w:rPr>
          <w:i/>
        </w:rPr>
        <w:t>6530 Lövängar</w:t>
      </w:r>
      <w:r>
        <w:t xml:space="preserve"> (SLU Artdatabanken, 2026; Nitare &amp; Skogsstyrelsen, 2019).</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Tretåig hackspett är typisk art för </w:t>
      </w:r>
      <w:r>
        <w:rPr>
          <w:i/>
        </w:rPr>
        <w:t xml:space="preserve">9010 Taiga, 9740 Skogsbevuxen myr, 9030 Landhöjningsskog </w:t>
      </w:r>
      <w:r>
        <w:t xml:space="preserve">och </w:t>
      </w:r>
      <w:r>
        <w:rPr>
          <w:i/>
        </w:rPr>
        <w:t>9040 Fjällbjörkskog</w:t>
      </w:r>
      <w:r>
        <w:t xml:space="preserve"> (Skogsstyrelsen, 2016; SLU Artdatabanken, 2024).</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de tre olika arterna ulltickeporing </w:t>
      </w:r>
      <w:r>
        <w:rPr>
          <w:i/>
        </w:rPr>
        <w:t xml:space="preserve">Skeletocutis brevispora </w:t>
      </w:r>
      <w:r>
        <w:t>(VU)</w:t>
      </w:r>
      <w:r>
        <w:rPr>
          <w:i/>
        </w:rPr>
        <w:t>, Skeletocutis delicata</w:t>
      </w:r>
      <w:r>
        <w:t xml:space="preserve"> (VU)</w:t>
      </w:r>
      <w:r>
        <w:rPr>
          <w:i/>
        </w:rPr>
        <w:t xml:space="preserve"> och Skeletocutis exilis</w:t>
      </w:r>
      <w:r>
        <w:t xml:space="preserve"> (NT). Ullticka är typisk art för </w:t>
      </w:r>
      <w:r>
        <w:rPr>
          <w:i/>
        </w:rPr>
        <w:t xml:space="preserve">9010 Taiga, 9050 Näringsrik granskog </w:t>
      </w:r>
      <w:r>
        <w:t xml:space="preserve">och </w:t>
      </w:r>
      <w:r>
        <w:rPr>
          <w:i/>
        </w:rPr>
        <w:t>9030 Landhöjningsskog</w:t>
      </w:r>
      <w:r>
        <w:t xml:space="preserve"> (SLU Artdatabanken, 2026; Nitare &amp; Skogsstyrelsen, 2019; Miettinen &amp; Niemelä, 2018).</w:t>
      </w:r>
    </w:p>
    <w:p>
      <w:r>
        <w:rPr>
          <w:b/>
        </w:rPr>
        <w:t xml:space="preserve">Vedflikmossa (NT) </w:t>
      </w:r>
      <w:r>
        <w:t>är strikt knuten till död ved i främst Norrlands barrskogar. Fanns tidigare även i södra Sveriges skogar men är borta där. Eftersom arten huvudsakligen är hänvisad till skog där träd fått växa kontinuerligt under flera hundra år (kontinuitetsskog), inte klarar av en kalhyggesfas och har svårt att sprida sig över stora avstånd, bedöms populationen fortsätta att minska på grund av dagens avverkningstakt av kontinuitetsskog. För att hejda populationsminskningen av denna art måste kalavverkning i de barrskogar som tidigare aldrig kalhuggits (kontinuitetsskog) upphöra eller begränsas kraftigt (SLU Artdatabanken, 2024).</w:t>
      </w:r>
    </w:p>
    <w:p>
      <w:r>
        <w:rPr>
          <w:b/>
        </w:rPr>
        <w:t xml:space="preserve">Vedtrappmossa (NT) </w:t>
      </w:r>
      <w:r>
        <w:t xml:space="preserve">växer på död ved, främst i gammal granskog. Den förekommer knappast alls i fjällnära barrskogar utan finns i skogslandskapet nedom fjällen och framför allt i landets södra delar är den en mycket bra signalart för barrnaturskog med höga naturvärden. Skogsavverkning och brist på grov död ved i skogen är de allvarligaste hoten och den överlever inte kalhyggesbruk. Lokaler med sluten granskog, tillräckligt stora för att säkerställa ett kontinuerligt tillskott på grova lågor, bör undantas från storskaligt skogsbruk. Vedtrappmossa är typisk art för </w:t>
      </w:r>
      <w:r>
        <w:rPr>
          <w:i/>
        </w:rPr>
        <w:t>9010 Taiga</w:t>
      </w:r>
      <w:r>
        <w:t xml:space="preserve"> (SLU Artdatabanken, 2024).</w:t>
      </w:r>
    </w:p>
    <w:p>
      <w:r>
        <w:rPr>
          <w:b/>
        </w:rPr>
        <w:t>Vitgrynig nållav (NT)</w:t>
      </w:r>
      <w:r>
        <w:t xml:space="preserve"> växer nästan uteslutande på bark av gamla, senvuxna granar i skuggiga lägen med hög och jämn luftfuktighet. Den vanligaste naturtypen för arten är kontinuitetsskogar på frisk mark men den finns också i sumpgranskogar. På lång sikt utgör avverkningar av olikåldriga granskogar av naturskogskaraktär ett allvarligt hot mot arten och skogsbruksåtgärder på eller i närheten av växtplatserna bör undvikas. Naturskogsartade, fuktiga granskogar med förekomster av arten signalerar höga biologiska värden och bör bevaras (SLU Artdatabanken, 2024; Nitare &amp; Skogsstyrelsen, 2019).</w:t>
      </w:r>
    </w:p>
    <w:p>
      <w:r>
        <w:rPr>
          <w:b/>
          <w:i/>
        </w:rPr>
        <w:t xml:space="preserve">Miriquidica majae </w:t>
      </w:r>
      <w:r>
        <w:rPr>
          <w:b/>
        </w:rPr>
        <w:t>(DD)</w:t>
      </w:r>
      <w:r>
        <w:t xml:space="preserve"> är en svedskivlav som växer på gran. Enstaka fynd från Jämtland. Arten påverkas negativt av brist på kontinuitetsskog. Faktaunderlaget bedöms vara otillräckligt för att avgöra vilken av de olika rödlistningskategorierna som är mest trolig (SLU Artdatabanken, 2026).</w:t>
      </w:r>
    </w:p>
    <w:p>
      <w:r>
        <w:rPr>
          <w:b/>
          <w:i/>
        </w:rPr>
        <w:t>Protoparmelia ochrococca</w:t>
      </w:r>
      <w:r>
        <w:rPr>
          <w:b/>
        </w:rPr>
        <w:t xml:space="preserve"> (DD)</w:t>
      </w:r>
      <w:r>
        <w:t xml:space="preserve"> är en kastanjelav som endast är känd från kontinuitetsskogar i västra Värmland. Faktaunderlaget bedöms vara otillräckligt för att avgöra vilken av de olika rödlistningskategorierna som är mest trolig (SLU Artdatabanken, 2026).</w:t>
      </w:r>
    </w:p>
    <w:p>
      <w:r>
        <w:rPr>
          <w:b/>
        </w:rPr>
        <w:t>Barkkornlav</w:t>
      </w:r>
      <w:r>
        <w:t xml:space="preserve"> växer på bark av bl.a. gran, ek, al, asp, rönn, sälg och en i ädellövskogar, granskogar, barr- och lövblandskogar med hög luftfuktighet. Barkkornlav är typisk art för </w:t>
      </w:r>
      <w:r>
        <w:rPr>
          <w:i/>
        </w:rPr>
        <w:t>9190 Näringsfattig ekskog</w:t>
      </w:r>
      <w:r>
        <w:t xml:space="preserve"> (SLU Artdatabanken, 2025).</w:t>
      </w:r>
    </w:p>
    <w:p>
      <w:r>
        <w:rPr>
          <w:b/>
        </w:rPr>
        <w:t>Gulnål</w:t>
      </w:r>
      <w:r>
        <w:t xml:space="preserve"> växer mest på murknande lövträdsved och barrträdsved och förekommer i skuggiga miljöer med hög luftfuktighet. I södra Sverige är den en relativt bra signal på biotoper med höga naturvärden och följs ofta av sällsynta arter. Gulnål är typisk art för </w:t>
      </w:r>
      <w:r>
        <w:rPr>
          <w:i/>
        </w:rPr>
        <w:t>9110 Näringsfattig bokskog</w:t>
      </w:r>
      <w:r>
        <w:t xml:space="preserve"> och</w:t>
      </w:r>
      <w:r>
        <w:rPr>
          <w:i/>
        </w:rPr>
        <w:t xml:space="preserve"> 9130 Näringsrik bokskog </w:t>
      </w:r>
      <w:r>
        <w:t>(Nitare &amp; Skogsstyrelsen, 2019; SLU Artdatabanken, 2025).</w:t>
      </w:r>
    </w:p>
    <w:p>
      <w:r>
        <w:rPr>
          <w:b/>
        </w:rPr>
        <w:t xml:space="preserve">Källpraktmossa </w:t>
      </w:r>
      <w:r>
        <w:t xml:space="preserve">växer på fuktig eller blöt, näringsrik och ofta mineralrik mark, t.ex. i sumpskogar. Den är en god signalart i södra och mellersta Sverige och förekommer ofta i artrika miljöer med t.ex. kärrkammossa, bågpraktmossa, filtrundmossa och skogshakmossa. Eftersom mängden våtmarker har reducerats kraftigt i södra Sverige under det senaste seklet har förekomsten av källpraktmossa troligen minskat i söder. Källpraktmossa är typisk art för </w:t>
      </w:r>
      <w:r>
        <w:rPr>
          <w:i/>
        </w:rPr>
        <w:t xml:space="preserve">7160 Källor och källkärr, 9750 Svämlövskog </w:t>
      </w:r>
      <w:r>
        <w:t>och</w:t>
      </w:r>
      <w:r>
        <w:rPr>
          <w:i/>
        </w:rPr>
        <w:t xml:space="preserve"> 9080 Lövsumpskog </w:t>
      </w:r>
      <w:r>
        <w:t>(Nitare &amp; Skogsstyrelsen, 2019; SLU Artdatabanken, 2025).</w:t>
      </w:r>
    </w:p>
    <w:p>
      <w:r>
        <w:rPr>
          <w:b/>
        </w:rPr>
        <w:t xml:space="preserve">Kärrkammossa </w:t>
      </w:r>
      <w:r>
        <w:t xml:space="preserve">signalerar höga naturvärden i södra Sverige och är typisk art för </w:t>
      </w:r>
      <w:r>
        <w:rPr>
          <w:i/>
        </w:rPr>
        <w:t xml:space="preserve">9080 Lövsumpskog, 7310 Aapamyrar </w:t>
      </w:r>
      <w:r>
        <w:t xml:space="preserve">och </w:t>
      </w:r>
      <w:r>
        <w:rPr>
          <w:i/>
        </w:rPr>
        <w:t xml:space="preserve">7140 Öppna mossar och kärr </w:t>
      </w:r>
      <w:r>
        <w:t>(Nitare &amp; Skogsstyrelsen, 2019; SLU Artdatabanken, 2025).</w:t>
      </w:r>
    </w:p>
    <w:p>
      <w:r>
        <w:rPr>
          <w:b/>
        </w:rPr>
        <w:t xml:space="preserve">Mörk husmossa </w:t>
      </w:r>
      <w:r>
        <w:t xml:space="preserve">är en mycket bra signalart i södra och mellersta Sverige. Den är sannolikt svårspridd och växer huvudsakligen i skog med lång skoglig kontinuitet i områden med konstant hög luftfuktighet. Den är känslig för större avverkningar, men tål plockhuggning som lämnar ett tätare trädskikt och ett obrutet, fukthållande mosstäcke på marken. Ett par studier har klart visat att artens tillväxt försämras när skogen huggs ner intill växtplatsen, och att ett kalhygges påverkan på mörk husmossa avtar både med avståndet från kalhygget och ju fuktigare växtplatsen är. Mörk husmossa är typisk art för </w:t>
      </w:r>
      <w:r>
        <w:rPr>
          <w:i/>
        </w:rPr>
        <w:t xml:space="preserve">9010 Taiga, 9050 Näringsrik granskog, 9080 Lövsumpskog, 9750 Svämlövskog, 9020 Nordlig ädellövskog, 9160 Näringsrik ekskog </w:t>
      </w:r>
      <w:r>
        <w:t>och</w:t>
      </w:r>
      <w:r>
        <w:rPr>
          <w:i/>
        </w:rPr>
        <w:t xml:space="preserve"> 9180 Ädellövskog i branter</w:t>
      </w:r>
      <w:r>
        <w:t xml:space="preserve"> (SLU Artdatabanken, 2024; Nitare &amp; Skogsstyrelsen, 2019).</w:t>
      </w:r>
    </w:p>
    <w:p>
      <w:r>
        <w:rPr>
          <w:b/>
        </w:rPr>
        <w:t xml:space="preserve">Norrlandslav </w:t>
      </w:r>
      <w:r>
        <w:t xml:space="preserve">indikerar söder om den naturliga norrlandsgränsen barrskogsbeklädda bergbranter eller andra ostörda skogsmiljöer med höga naturvärden. Norrlandslav är typisk art för </w:t>
      </w:r>
      <w:r>
        <w:rPr>
          <w:i/>
        </w:rPr>
        <w:t xml:space="preserve">9010 Taiga, 8110 Silikatrasmarker </w:t>
      </w:r>
      <w:r>
        <w:t>och</w:t>
      </w:r>
      <w:r>
        <w:rPr>
          <w:i/>
        </w:rPr>
        <w:t xml:space="preserve"> 8120 Kalkrasmarker </w:t>
      </w:r>
      <w:r>
        <w:t>(Nitare &amp; Skogsstyrelsen, 2000; SLU Artdatabanken, 2025).</w:t>
      </w:r>
    </w:p>
    <w:p>
      <w:r>
        <w:rPr>
          <w:b/>
        </w:rPr>
        <w:t xml:space="preserve">Rostfläck </w:t>
      </w:r>
      <w:r>
        <w:t xml:space="preserve">signalerar framför allt höga naturvärden i östra Sverige samt norr om den naturliga norrlandsgränsen. Arten indikerar här skogsmiljöer som under lång tid haft ett konstant fuktigt mikroklimat. Rika förekomster i Norrland visar sannolikt på bestånd med långvarig kontinuitet av gamla träd. När laven påträffas i alkärr signalerar den höga naturvärden inom hela sitt utbredningsområde. Rostfläck är typisk art för </w:t>
      </w:r>
      <w:r>
        <w:rPr>
          <w:i/>
        </w:rPr>
        <w:t xml:space="preserve">9190 Näringsfattig ekskog </w:t>
      </w:r>
      <w:r>
        <w:t>(Nitare &amp; Skogsstyrelsen, 2019; SLU Artdatabanken, 2025).</w:t>
      </w:r>
    </w:p>
    <w:p>
      <w:r>
        <w:rPr>
          <w:b/>
        </w:rPr>
        <w:t>Skogshakmossa</w:t>
      </w:r>
      <w:r>
        <w:t xml:space="preserve"> indikerar lokaler som ofta har en artrik mossflora som kräver jämn och hög markfuktighet, till exempel olika sumpskogar med höga naturvärden. Högst signalvärde har arten i södra och mellersta Sverige. Skogshakmossa är typisk art för </w:t>
      </w:r>
      <w:r>
        <w:rPr>
          <w:i/>
        </w:rPr>
        <w:t xml:space="preserve">9010 Taiga, 9050 Näringsrik granskog, 9080 Lövsumpskog </w:t>
      </w:r>
      <w:r>
        <w:t xml:space="preserve">och </w:t>
      </w:r>
      <w:r>
        <w:rPr>
          <w:i/>
        </w:rPr>
        <w:t xml:space="preserve">9750 Svämlövskog </w:t>
      </w:r>
      <w:r>
        <w:t>(Nitare &amp; Skogsstyrelsen, 2019; SLU Artdatabanken, 2025).</w:t>
      </w:r>
    </w:p>
    <w:p>
      <w:r>
        <w:rPr>
          <w:b/>
        </w:rPr>
        <w:t>Stuplav</w:t>
      </w:r>
      <w:r>
        <w:t xml:space="preserve"> är en mycket bra signalart i hela sitt utbredningsområde och förekommer nästan enbart i skogsmiljöer med höga naturvärden. Den indikerar långvarig förekomst av gamla lövträd och miljöer med konstant hög luftfuktighet. I skogar med suboceaniskt klimat finns det en mycket sällsynt parasit, njurlavsknapp </w:t>
      </w:r>
      <w:r>
        <w:rPr>
          <w:i/>
        </w:rPr>
        <w:t>Pletocarpon nephromeum</w:t>
      </w:r>
      <w:r>
        <w:t xml:space="preserve"> (EN), som växer på stuplav. Ytterligare tre sällsynta lavparasiter, </w:t>
      </w:r>
      <w:r>
        <w:rPr>
          <w:i/>
        </w:rPr>
        <w:t>Protounguicularia nephromatis</w:t>
      </w:r>
      <w:r>
        <w:t xml:space="preserve"> (VU), </w:t>
      </w:r>
      <w:r>
        <w:rPr>
          <w:i/>
        </w:rPr>
        <w:t>Refractohilum galligenum</w:t>
      </w:r>
      <w:r>
        <w:t xml:space="preserve"> (NT) och </w:t>
      </w:r>
      <w:r>
        <w:rPr>
          <w:i/>
        </w:rPr>
        <w:t>Roselliniella nephromatis</w:t>
      </w:r>
      <w:r>
        <w:t xml:space="preserve"> (DD), kan också påträffas på stuplav. Stuplav är typisk art för </w:t>
      </w:r>
      <w:r>
        <w:rPr>
          <w:i/>
        </w:rPr>
        <w:t>9010 Taiga</w:t>
      </w:r>
      <w:r>
        <w:t xml:space="preserve"> (SLU Artdatabanken, 2026; Nitare &amp; Skogsstyrelsen, 2019).</w:t>
      </w:r>
    </w:p>
    <w:p>
      <w:r>
        <w:rPr>
          <w:b/>
        </w:rPr>
        <w:t xml:space="preserve">Trådticka </w:t>
      </w:r>
      <w:r>
        <w:t xml:space="preserve">är knuten till grova granar i rikare ofta fuktiga miljöer. Den återfinns på både levande och döda träd samt stubbar och nyligen fallna träd. Karaktärsart för äldre fuktiga granskogsbiotoper, och i stor mängd är den en bra signalart för miljöer med andra rödlistade arter. Trådticka är typisk art för </w:t>
      </w:r>
      <w:r>
        <w:rPr>
          <w:i/>
        </w:rPr>
        <w:t xml:space="preserve">9010 Taiga </w:t>
      </w:r>
      <w:r>
        <w:t xml:space="preserve">och </w:t>
      </w:r>
      <w:r>
        <w:rPr>
          <w:i/>
        </w:rPr>
        <w:t xml:space="preserve">9050 Näringsrik granskog </w:t>
      </w:r>
      <w:r>
        <w:t>(SLU Artdatabanken, 2025).</w:t>
      </w:r>
    </w:p>
    <w:p>
      <w:r>
        <w:rPr>
          <w:b/>
        </w:rPr>
        <w:t xml:space="preserve">Vedticka </w:t>
      </w:r>
      <w:r>
        <w:t xml:space="preserve">är en bra signalart söder om den naturliga norrlandsgränsen. Den är huvudsakligen knuten till äldre barrskogar där det föreligger långvarig kontinuitet av död barrved. Vedticka är typisk art för </w:t>
      </w:r>
      <w:r>
        <w:rPr>
          <w:i/>
        </w:rPr>
        <w:t xml:space="preserve">9010 Taiga </w:t>
      </w:r>
      <w:r>
        <w:t>(Nitare &amp; Skogsstyrelsen, 2019; SLU Artdatabanken, 2025).</w:t>
      </w:r>
    </w:p>
    <w:p>
      <w:r>
        <w:rPr>
          <w:b/>
        </w:rPr>
        <w:t>Spillkråka (§4)</w:t>
      </w:r>
      <w:r>
        <w:t xml:space="preserve"> omfattas av bilaga 1 i EU:s fågeldirektiv och är typisk art för </w:t>
      </w:r>
      <w:r>
        <w:rPr>
          <w:i/>
        </w:rPr>
        <w:t xml:space="preserve">9010 Taiga </w:t>
      </w:r>
      <w:r>
        <w:t>och</w:t>
      </w:r>
      <w:r>
        <w:rPr>
          <w:i/>
        </w:rPr>
        <w:t xml:space="preserve"> 9740 Skogsbevuxen myr</w:t>
      </w:r>
      <w:r>
        <w:t>. Den behöver grova träd, främst tall, asp och bok som boträd. Skogsbruk med korta omloppstider och täta, homogena ungskogar utgör det största hotet. 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(SLU Artdatabanken, 2026; Skogsstyrelsen, 2016).</w:t>
      </w:r>
    </w:p>
    <w:p>
      <w:r>
        <w:rPr>
          <w:b/>
        </w:rPr>
        <w:t>Tallbit (§4)</w:t>
      </w:r>
      <w:r>
        <w:t xml:space="preserve"> ställer höga krav på sin livsmiljö och permanent förekomst av häckande tallbit finns huvudsakligen i gammal grandominerad barrblandskog av naturskogskaraktär. Reviren är relativt stora (12–75 hektar) och arten saknas i områden med storskaligt skogsbruk med hög andel stora hyggen och täta ungskogar. Områden med dokumenterad permanent förekomst har vanligtvis så stora naturvärden att skogsbruk är olämpligt. Tallbit är typisk art för </w:t>
      </w:r>
      <w:r>
        <w:rPr>
          <w:i/>
        </w:rPr>
        <w:t>9010 Taiga</w:t>
      </w:r>
      <w:r>
        <w:t xml:space="preserve"> (SLU Artdatabanken, 2026; Skogsstyrelsen, 2016). Observationer av tallbit i naturskog eller under häckningstid måste alltid utredas.</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6.4.1 </w:t>
      </w:r>
      <w:r>
        <w:t>Följande biotoper undantas från alla skogsbruksåtgärder, förutom åtgärder påkallade för att bevara eller främja biotopens naturliga eller hävdbetingade biologiska mångfald:</w:t>
      </w:r>
    </w:p>
    <w:p>
      <w:pPr>
        <w:ind w:left="357"/>
      </w:pPr>
      <w:r>
        <w:t>b) nyckelbiotoper enligt Skogsstyrelsens definition och metod (1995)</w:t>
      </w:r>
    </w:p>
    <w:p>
      <w:pPr>
        <w:pStyle w:val="ListBullet"/>
      </w:pPr>
      <w:r>
        <w:rPr>
          <w:b/>
          <w:i/>
        </w:rPr>
        <w:t xml:space="preserve">Kommentar: </w:t>
      </w:r>
      <w:r>
        <w:rPr>
          <w:i/>
        </w:rPr>
        <w:t>I det avverkningsanmälda skogsområdet har 44 rödlistade arter och signalarter påträffats. Detta ska jämföras med Skogsstyrelsens uppföljning 2017 av nyckelbiotoper som visade att man i genomsnitt hittar 20,6 olika rödlistade arter och signalarter i en nyckelbiotop (Wijk, S. 2017. Biologisk mångfald i nyckelbiotoper – Resultat från inventeringen “Uppföljning biologisk mångfald” 2009–2015. Rapport 4/2017 Skogsstyrelsen, Jönköping).</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46 naturvårdsarter varav 30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w:t>
        <w:br/>
        <w:t>Fridlysta och rödlistade arter</w:t>
      </w:r>
    </w:p>
    <w:p>
      <w:pPr>
        <w:pStyle w:val="Heading1"/>
      </w:pPr>
      <w:r>
        <w:t>Lavskrika – ekologi samt krav på livsmiljön</w:t>
      </w:r>
    </w:p>
    <w:p>
      <w:r>
        <w:t>Lavskrika är rödlistad som nära hotad (NT), fridlyst enligt 4 § artskyddsförordningen (2007:845) och ingår i förteckningen över prioriterade arter i Skogsstyrelsens föreskrifter och allmänna råd (SKSFS 2011:7) bilaga 4. Lavskrikan är en mycket stationär fågel, som häckar i äldre, slutna och hänglavsrika barrskogar. Nyckelfaktorer är flerskiktad skog med rik undervegetation samt riklig förekomst av hänglavar (SLU Artdatabanken, 2026).</w:t>
      </w:r>
    </w:p>
    <w:p>
      <w:r>
        <w:t xml:space="preserve">I Skogsstyrelsens vägledning för hänsyn till fåglar står bland annat att: </w:t>
      </w:r>
      <w:r>
        <w:rPr>
          <w:i/>
        </w:rPr>
        <w:t>“Reviren är livslånga med hemområden som varierar mellan 50 och 150 ha. Hemområdena har inga fasta gränser utan det handlar mera om de yttre gränserna för familjegruppernas rörelser. Lavskrikan undviker att förflytta sig över stora öppna områden och hemområdesstorleken är därför större i områden fragmenterade av hyggen och yngre skog än i områden med i sammanhängande äldre skog. Det finns studier som antyder att det inom ett revir bör finnas maximalt 15 % öppna ytor och ungskog. Inom ett revir av hög kvalitet finns det som regel ett eller flera kärnområden (1–20 ha) med relativt tät flerskiktad granskog.”</w:t>
      </w:r>
      <w:r>
        <w:t xml:space="preserve"> Vidare att: </w:t>
      </w:r>
      <w:r>
        <w:rPr>
          <w:i/>
        </w:rPr>
        <w:t>“Arten missgynnas när flerskiktad skog omförs till enskiktade bestånd. Även skogsskötsel med återkommande röjning och hård gallring är starkt negativt. Lavskrikan har relativt stora hemområden och försvinner när den äldre skogen fragmenteras, särskilt allvarligt är när kärnområdena avverkas.”</w:t>
      </w:r>
      <w:r>
        <w:t xml:space="preserve"> (Skogsstyrelsen 2016).</w:t>
      </w:r>
    </w:p>
    <w:p>
      <w:r>
        <w:t xml:space="preserve">Populationen har minskat med 20 (10–30) % under de senaste 15 åren och minskningstakten bedöms vara nära gränsvärdet för sårbar (VU). Arten försvinner successivt framför allt vid dess utbredningsgränser och populationen har minskat kontinuerligt under 2000-talet. Lavskrika är typisk art för </w:t>
      </w:r>
      <w:r>
        <w:rPr>
          <w:i/>
        </w:rPr>
        <w:t>9010 Taiga</w:t>
      </w:r>
      <w:r>
        <w:t xml:space="preserve"> (SLU Artdatabanken, 2026).</w:t>
      </w:r>
    </w:p>
    <w:p>
      <w:pPr>
        <w:pStyle w:val="Heading2"/>
      </w:pPr>
      <w:r>
        <w:t>Referenser – lavskrika</w:t>
      </w:r>
    </w:p>
    <w:p>
      <w:r>
        <w:t xml:space="preserve">Skogsstyrelsen, 2016. </w:t>
      </w:r>
      <w:r>
        <w:rPr>
          <w:i/>
        </w:rPr>
        <w:t xml:space="preserve">Vägledning för hänsyn till fåglar – lavskrika. </w:t>
      </w:r>
      <w:r>
        <w:t>https://www.skogsstyrelsen.se/globalassets/lag-och-tillsyn/artskydd/vagledningar-for-hansyn-till-faglar/lavskrika-vagledning-hansyn.pdf</w:t>
      </w:r>
    </w:p>
    <w:p>
      <w:r>
        <w:t xml:space="preserve">SLU Artdatabanken, 2026. </w:t>
      </w:r>
      <w:r>
        <w:rPr>
          <w:i/>
        </w:rPr>
        <w:t xml:space="preserve">Artfaktablad. Naturvård – artfakta. </w:t>
      </w:r>
      <w:r>
        <w:t>SLU Artdatabanken, Uppsala</w:t>
      </w:r>
    </w:p>
    <w:p>
      <w:pPr>
        <w:pStyle w:val="Heading1"/>
      </w:pPr>
      <w:r>
        <w:t>Lunglav – ekologi samt krav på livsmiljön</w:t>
      </w:r>
    </w:p>
    <w:p>
      <w:r>
        <w:t xml:space="preserve">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däribland de sällsynta lavparasiterna lunglavshårprick (CR), </w:t>
      </w:r>
      <w:r>
        <w:rPr>
          <w:i/>
        </w:rPr>
        <w:t>Abrothallus diederichii</w:t>
      </w:r>
      <w:r>
        <w:t xml:space="preserve"> (VU), </w:t>
      </w:r>
      <w:r>
        <w:rPr>
          <w:i/>
        </w:rPr>
        <w:t>Abrothallus lobariae</w:t>
      </w:r>
      <w:r>
        <w:t xml:space="preserve"> (VU), </w:t>
      </w:r>
      <w:r>
        <w:rPr>
          <w:i/>
        </w:rPr>
        <w:t>Calycina lobariae</w:t>
      </w:r>
      <w:r>
        <w:t xml:space="preserve"> (VU), lunglavsknapp (VU) och skrovelmössing (VU), som växer på lunglav. Rikliga förekomster med lunglav bör skyddas med biotopskydd, frivilliga avsättningar eller reservat (SLU Artdatabanken, 2026; Nitare &amp; Skogsstyrelsen, 2019).</w:t>
      </w:r>
    </w:p>
    <w:p>
      <w:r>
        <w:t xml:space="preserve">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2026).</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2026. </w:t>
      </w:r>
      <w:r>
        <w:rPr>
          <w:i/>
        </w:rPr>
        <w:t xml:space="preserve">Artfaktablad. Naturvård – artfakta. </w:t>
      </w:r>
      <w:r>
        <w:t>SLU Artdatabanken, Uppsala.</w:t>
      </w:r>
    </w:p>
    <w:p>
      <w:pPr>
        <w:pStyle w:val="Heading1"/>
      </w:pPr>
      <w:r>
        <w:t>Talltita – ekologi samt krav på livsmiljön</w:t>
      </w:r>
    </w:p>
    <w:p>
      <w:r>
        <w:t>Talltita är rödlistad som NT, fridlyst och prioriterad art i Skogsvårdslagen. Den omfattas av EU:s fågeldirektiv. Arten har minskat kraftigt de senaste 30 åren och minskningstakten innevarande 10-årsperiod beräknas till 20 (10–30) % (SLU Artdatabanken, 2022).</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For. Ecol. Manage. 319, 169–175.</w:t>
      </w:r>
    </w:p>
    <w:p>
      <w:r>
        <w:t xml:space="preserve">Ekman, J., 1979. </w:t>
      </w:r>
      <w:r>
        <w:rPr>
          <w:i/>
        </w:rPr>
        <w:t xml:space="preserve">Coherence, composition and territories of winter social groups of the Willow Tit Parus montanus and the Crested Tit P. cristatus. </w:t>
      </w:r>
      <w:r>
        <w:t>Ornis Scandinavica, 10, pp 56–68</w:t>
      </w:r>
    </w:p>
    <w:p>
      <w:r>
        <w:t xml:space="preserve">Griesser, M., Nystrand, M., Eggers, S., Ekman, J., 2007. </w:t>
      </w:r>
      <w:r>
        <w:rPr>
          <w:i/>
        </w:rPr>
        <w:t xml:space="preserve">Impact of forestry practices on fitness correlates and population productivity in an open-nesting bird species. </w:t>
      </w:r>
      <w:r>
        <w:t>Conserv. Biol. 21, 767–774. https://doi.org/10.1111/j.1523- 1739.2007.00675.x</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r>
        <w:t xml:space="preserve"> (SLU Artdatabanken, 2024; Skogsstyrelsen, 2016)</w:t>
      </w:r>
      <w:r>
        <w:rPr>
          <w:i/>
        </w:rPr>
        <w: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 (SLU Artdatabanken, 2024; Skogsstyrelsen, 2016).</w:t>
      </w:r>
    </w:p>
    <w:p>
      <w:r>
        <w:t xml:space="preserve">Förutom fridlysning enligt §4 Artskyddsförordningen är tretåig hackspett även förtecknad i EU:s fågeldirektiv bilaga 1. Den är typisk art för </w:t>
      </w:r>
      <w:r>
        <w:rPr>
          <w:i/>
        </w:rPr>
        <w:t xml:space="preserve">9010 Taiga, 9740 Skogsbevuxen myr, 9030 Landhöjningsskog </w:t>
      </w:r>
      <w:r>
        <w:t xml:space="preserve">och </w:t>
      </w:r>
      <w:r>
        <w:rPr>
          <w:i/>
        </w:rPr>
        <w:t>9040 Fjällbjörkskog</w:t>
      </w:r>
      <w:r>
        <w:t xml:space="preserve"> samt ingår i Natura 2000 och är förtecknad i Bernkonventionen bilaga II (strikt skyddade djurarter) (SLU Artdatabanken, 2024; Skogsstyrelsen, 2016).</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Vägledning för hänsyn till fåglar – Tretåig hackspett.</w:t>
      </w:r>
    </w:p>
    <w:p>
      <w:r>
        <w:t xml:space="preserve">SLU Artdatabanken, 2024. </w:t>
      </w:r>
      <w:r>
        <w:rPr>
          <w:i/>
        </w:rPr>
        <w:t xml:space="preserve">Artfaktablad. Naturvård – artfakta. </w:t>
      </w:r>
      <w:r>
        <w:t>SLU Artdatabanken, Uppsala.</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p>
      <w:pPr>
        <w:pStyle w:val="Heading1"/>
      </w:pPr>
      <w:r>
        <w:t>Spillkråka – ekologi samt krav på livsmiljön</w:t>
      </w:r>
    </w:p>
    <w:p>
      <w:r>
        <w:t xml:space="preserve">Spillkråka (§4) ingår i bilaga 1 EU:s fågeldirektiv och är typisk art för </w:t>
      </w:r>
      <w:r>
        <w:rPr>
          <w:i/>
        </w:rPr>
        <w:t xml:space="preserve">9010 Taiga </w:t>
      </w:r>
      <w:r>
        <w:t>och</w:t>
      </w:r>
      <w:r>
        <w:rPr>
          <w:i/>
        </w:rPr>
        <w:t xml:space="preserve"> 9740 Skogsbevuxen myr</w:t>
      </w:r>
      <w:r>
        <w:t>. Den lever i både barr- och blandskog liksom i ren lövskog. De tätaste populationerna tenderar att finnas i äldre, variationsrik blandskog med gott om död ved och gamla träd. Varje par utnyttjar 400–1000 hektar skog beroende på skogens kvalitet. Skogsbruk med korta omloppstider och täta, homogena ungskogar utgör det största hotet (SLU Artdatabanken, 2026).</w:t>
      </w:r>
    </w:p>
    <w:p>
      <w:r>
        <w:t>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(Skogsstyrelsen, 2016).</w:t>
      </w:r>
    </w:p>
    <w:p>
      <w:pPr>
        <w:pStyle w:val="Heading2"/>
      </w:pPr>
      <w:r>
        <w:t>Referenser – spillkråka</w:t>
      </w:r>
    </w:p>
    <w:p>
      <w:r>
        <w:t xml:space="preserve">Skogsstyrelsen, 2016. </w:t>
      </w:r>
      <w:r>
        <w:rPr>
          <w:i/>
        </w:rPr>
        <w:t xml:space="preserve">Vägledning för hänsyn till spillkråka. </w:t>
      </w:r>
      <w:r>
        <w:t>Vägledningar och kunskapsstöd artskydd – Skogsstyrelsen.</w:t>
      </w:r>
    </w:p>
    <w:p>
      <w:r>
        <w:t xml:space="preserve">SLU Artdatabanken, 2026. </w:t>
      </w:r>
      <w:r>
        <w:rPr>
          <w:i/>
        </w:rPr>
        <w:t xml:space="preserve">Artfaktablad. Naturvård – artfakta. </w:t>
      </w:r>
      <w:r>
        <w:t>SLU Artdatabanken, Uppsala.</w:t>
      </w:r>
    </w:p>
    <w:p>
      <w:pPr>
        <w:pStyle w:val="Heading1"/>
      </w:pPr>
      <w:r>
        <w:t>Tallbit – ekologi samt krav på livsmiljön</w:t>
      </w:r>
    </w:p>
    <w:p>
      <w:r>
        <w:t xml:space="preserve">Tallbit (§4) är typisk art för </w:t>
      </w:r>
      <w:r>
        <w:rPr>
          <w:i/>
        </w:rPr>
        <w:t>9010 Taiga</w:t>
      </w:r>
      <w:r>
        <w:t xml:space="preserve"> och prioriterad art enligt Skogsvårdslagen. Den förekommer från norra Dalarna och norrut genom de inre delarna av Norrland, norrut till norra Norrbotten. Tallbiten ställer höga krav på sin livsmiljö och permanent förekomst av häckande tallbit finns huvudsakligen i gammal grandominerad barrblandskog av naturskogskaraktär med inslag av björk, gråal, rönn och viden, påfallande ofta i områden med inslag av myrmark och små vattendrag. Reviren är relativt stora (12–75 hektar enligt befintliga studier) och arten saknas i områden med storskaligt skogsbruk med hög andel stora hyggen och täta ungskogar. Områden med dokumenterad permanent förekomst har ofta så stora naturvärden att skogsbruk är olämpligt (SLU Artdatabanken, 2026; Skogsstyrelsen, 2016).</w:t>
      </w:r>
    </w:p>
    <w:p>
      <w:r>
        <w:t>Arealerna grandominerad naturskog har i stora delar av landet blivit allt för små, och bestånden är dessutom i många fall allt för isolerade, för att kunna upprätthålla stabila populationer. Omdaningen av naturskogsartad skog till produktionsskog medför en förlust av viktiga häckningsmiljöer, något som förstärks av ökad fragmentering av kvarvarande naturskogsartade bestånd. Områden med dokumenterad permanent förekomst i naturskogsmiljöer kan ha så stora naturvärden att de bör bli föremål för områdesskydd eller naturvårdsavsättningar (Skogsstyrelsen, 2016).</w:t>
      </w:r>
    </w:p>
    <w:p>
      <w:r>
        <w:t>Tallbiten flyttar normalt endast begränsade sträckor inom norra barrskogsregionen och de flesta vintrar ses den endast i mycket liten omfattning utanför häckningsområdet. Med långa och oregelbundna mellanrum uppträder tallbiten invasionsaktigt och i samband med sådana rörelser kan den observeras i stora delar av Sverige (SLU Artdatabanken, 2026).</w:t>
      </w:r>
    </w:p>
    <w:p>
      <w:pPr>
        <w:pStyle w:val="Heading2"/>
      </w:pPr>
      <w:r>
        <w:t>Referenser – tallbit</w:t>
      </w:r>
    </w:p>
    <w:p>
      <w:r>
        <w:t xml:space="preserve">Skogsstyrelsen, 2016. </w:t>
      </w:r>
      <w:r>
        <w:rPr>
          <w:i/>
        </w:rPr>
        <w:t xml:space="preserve">Vägledning för hänsyn till tallbit. </w:t>
      </w:r>
      <w:r>
        <w:t>Vägledningar och kunskapsstöd artskydd - Skogsstyrelsen</w:t>
      </w:r>
    </w:p>
    <w:p>
      <w:r>
        <w:t>SLU Artdatabanken, 2026.</w:t>
      </w:r>
      <w:r>
        <w:rPr>
          <w:i/>
        </w:rPr>
        <w:t xml:space="preserve"> Artfakta: tallbit (Pinicola enucleator).</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2026-09-19</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