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43967-2024 i Åre kommun</w:t>
      </w:r>
    </w:p>
    <w:p>
      <w:r>
        <w:t>Denna tillsynsbegäran behandlar höga naturvärden i avverkningsanmälan A 43967-2024 i Åre kommun som inkom 2024-10-07 och omfattar 18,2 ha.</w:t>
      </w:r>
    </w:p>
    <w:p>
      <w:pPr>
        <w:pStyle w:val="Caption"/>
      </w:pPr>
      <w:r>
        <w:drawing>
          <wp:inline xmlns:a="http://schemas.openxmlformats.org/drawingml/2006/main" xmlns:pic="http://schemas.openxmlformats.org/drawingml/2006/picture">
            <wp:extent cx="4290049" cy="5724000"/>
            <wp:docPr id="1" name="Picture 1"/>
            <wp:cNvGraphicFramePr>
              <a:graphicFrameLocks noChangeAspect="1"/>
            </wp:cNvGraphicFramePr>
            <a:graphic>
              <a:graphicData uri="http://schemas.openxmlformats.org/drawingml/2006/picture">
                <pic:pic>
                  <pic:nvPicPr>
                    <pic:cNvPr id="0" name="A 43967-2024 karta.png"/>
                    <pic:cNvPicPr/>
                  </pic:nvPicPr>
                  <pic:blipFill>
                    <a:blip r:embed="rId16"/>
                    <a:stretch>
                      <a:fillRect/>
                    </a:stretch>
                  </pic:blipFill>
                  <pic:spPr>
                    <a:xfrm>
                      <a:off x="0" y="0"/>
                      <a:ext cx="4290049"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7082404, E 399232 i SWEREF 99 TM.</w:t>
      </w:r>
    </w:p>
    <w:p>
      <w:r>
        <w:t>I och inom 25 meter från avverkningsanmälan finns fynd av 15 naturvårdsarter, varav 8 är rödlistade, 1 är fridlyst, 8 är typiska (T) och 7 är signalarter (S): garnlav (VU, T), gropig skägglav (VU), gammelgransskål (NT, T), rödbrun blekspik (NT, T), vedflamlav (NT), vedflikmossa (NT), vedskivlav (NT, T), vitgrynig nållav (NT), källpraktmossa (S, T), mörk husmossa (S, T), purpurmylia (S), spindelblomster (S, T, §8), stor revmossa (S), stuplav (S, T) och västlig hakmossa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Gropig skägglav (VU)</w:t>
      </w:r>
      <w:r>
        <w:t xml:space="preserve"> växer på träd i flera olika miljöer, både kulturmark som alléer och i gammal skog. Är sannolikt känslig för luftföroreningar liksom slutavverkning av gammal skog men orsaken till tillbakagången är delvis oklar. Minskningstakten har uppgått till 30 (20–40) % under de senaste 50 åren och överstiger gränsvärdet för sårbar (VU). Arten påverkas negativt av brist på kontinuitetsskog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Purpurmylia </w:t>
      </w:r>
      <w:r>
        <w:t>indikerar mycket hög och jämn fuktighet, både i substratet och i luften, samt kalkfattiga och fukthållande underlag. Förekomster i skog signalerar höga naturvärden. Arten kräver i låglandet äldre skog med riklig tillgång på grova lågor som fått ligga länge i skugga och i kontakt med fuktig mark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rödbrun blekspik (NT, T), vedskivlav (NT, T), källpraktmossa (S, T), mörk husmossa (S, T), spindelblomster (S, T, §8)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