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10723-2023 i Åre kommun</w:t>
      </w:r>
    </w:p>
    <w:p>
      <w:r>
        <w:t>Denna tillsynsbegäran behandlar höga naturvärden i avverkningsanmälan A 10723-2023 i Åre kommun som inkom 2023-02-27 och omfattar 67,5 ha.</w:t>
      </w:r>
    </w:p>
    <w:p>
      <w:pPr>
        <w:pStyle w:val="Caption"/>
      </w:pPr>
      <w:r>
        <w:drawing>
          <wp:inline xmlns:a="http://schemas.openxmlformats.org/drawingml/2006/main" xmlns:pic="http://schemas.openxmlformats.org/drawingml/2006/picture">
            <wp:extent cx="5486400" cy="5555123"/>
            <wp:docPr id="1" name="Picture 1"/>
            <wp:cNvGraphicFramePr>
              <a:graphicFrameLocks noChangeAspect="1"/>
            </wp:cNvGraphicFramePr>
            <a:graphic>
              <a:graphicData uri="http://schemas.openxmlformats.org/drawingml/2006/picture">
                <pic:pic>
                  <pic:nvPicPr>
                    <pic:cNvPr id="0" name="A 10723-2023 karta.png"/>
                    <pic:cNvPicPr/>
                  </pic:nvPicPr>
                  <pic:blipFill>
                    <a:blip r:embed="rId16"/>
                    <a:stretch>
                      <a:fillRect/>
                    </a:stretch>
                  </pic:blipFill>
                  <pic:spPr>
                    <a:xfrm>
                      <a:off x="0" y="0"/>
                      <a:ext cx="5486400" cy="555512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7017204, E 368971 i SWEREF 99 TM.</w:t>
      </w:r>
    </w:p>
    <w:p>
      <w:r>
        <w:t>I och inom 21 meter från avverkningsanmälan finns fynd av 20 naturvårdsarter, varav 14 är rödlistade, 6 är fridlysta, 13 är typiska (T) och 4 är signalarter (S): garnlav (VU, T), läderlappslav (VU, T), gammelgransskål (NT, T), halmgul örnlav (NT), kavernularia (NT), knottrig blåslav (NT, T), lavskrika (NT, T, §4), liten svartspik (NT), Rostania effusa (NT), skrovellav (NT, T), talltita (NT, §4), tretåig hackspett (NT, T, §4), vedflamlav (NT), vitgrynig nållav (NT), bårdlav (S, T), korallblylav (S, T), spindelblomster (S, T, §8), vedticka (S, T), järpe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Halmgul örnlav (NT)</w:t>
      </w:r>
      <w:r>
        <w:t xml:space="preserve"> växer på bark och ved av gran och tall, oftast på riktigt gamla träd i gles boreal kontinuitetsskog eller myrkanter. Avverkning av boreal kontinuitetsskog är ett hot och skogsbruksåtgärder på eller i närheten av växtplatserna bör undvikas. Naturskogsartade skogar med förekomst av arten indikerar höga biologiska värden och bör bevaras. Särskilt angeläget är detta i naturskogsartade barrskogar. Minskningstakten för den svenska populationen bedöms vara nära gränsvärdet för Sårbar (VU) (SLU Artdatabanken, 2024).</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i/>
        </w:rPr>
        <w:t xml:space="preserve">Rostania effusa </w:t>
      </w:r>
      <w:r>
        <w:rPr>
          <w:b/>
        </w:rPr>
        <w:t>(NT)</w:t>
      </w:r>
      <w:r>
        <w:t xml:space="preserve"> är en sällsynt lav som växer på gamla lövträd och kräver, åtminstone periodvis, hög luftfuktighet. Oftast står lövträden inne i gammal barrskog. Arten påverkas negativt av brist på kontinuitetsskog och en minskning av populationen pågår eller förväntas ske. Minskningen avser förekomstarea, kvalitén på artens habitat, antalet lokalområden och antalet reproduktiva individer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läderlappslav (VU, T), gammelgransskål (NT, T), knottrig blåslav (NT, T), lavskrika (NT, T, §4), skrovellav (NT, T), tretåig hackspett (NT, T, §4), bårdlav (S, T), korallblylav (S, T), spindelblomster (S, T, §8), vedticka (S,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