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27805-2022 i Åre kommun</w:t>
      </w:r>
    </w:p>
    <w:p>
      <w:r>
        <w:t>Detta dokument behandlar höga naturvärden i avverkningsanmälan A 27805-2022 i Åre kommun. Denna avverkningsanmälan inkom 2022-07-01 00:00:00 och omfattar 106,2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 I BILAGA 1 finns artfakta om fridlysta arter.</w:t>
      </w:r>
    </w:p>
    <w:p>
      <w:pPr>
        <w:pStyle w:val="Heading1"/>
      </w:pPr>
      <w:r>
        <w:t>Naturvårdsarter</w:t>
      </w:r>
    </w:p>
    <w:p>
      <w:r>
        <w:t>I avverkningsanmälan har följande 9 naturvårdsarter hittats: grönfink (EN, §4), garnlav (NT), grå blåbärsfältmätare (NT), kavernularia (NT), månlåsbräken (NT), talltita (NT, §4), tretåig hackspett (NT, §4), korallrot (S, §8) och lavskrika (§4). Av dessa är 7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705779"/>
            <wp:docPr id="1" name="Picture 1"/>
            <wp:cNvGraphicFramePr>
              <a:graphicFrameLocks noChangeAspect="1"/>
            </wp:cNvGraphicFramePr>
            <a:graphic>
              <a:graphicData uri="http://schemas.openxmlformats.org/drawingml/2006/picture">
                <pic:pic>
                  <pic:nvPicPr>
                    <pic:cNvPr id="0" name="A 27805-2022 karta.png"/>
                    <pic:cNvPicPr/>
                  </pic:nvPicPr>
                  <pic:blipFill>
                    <a:blip r:embed="rId16"/>
                    <a:stretch>
                      <a:fillRect/>
                    </a:stretch>
                  </pic:blipFill>
                  <pic:spPr>
                    <a:xfrm>
                      <a:off x="0" y="0"/>
                      <a:ext cx="5486400" cy="4705779"/>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7019533, E 357167 i SWEREF 99 TM.</w:t>
      </w:r>
    </w:p>
    <w:p>
      <w:r>
        <w:rPr>
          <w:b/>
        </w:rPr>
        <w:t>Garnlav (NT)</w:t>
      </w:r>
      <w:r>
        <w:t xml:space="preserve"> är en utpräglad barrskogsart som ibland kan drapera träden i norrländska grannaturskogar med hög luftfuktighet. Den förekommer även i talldominerade bestånd där den, förutom i trädens grenverk, påträffas hängande över ojämnheter i tallbarken. Arten har minskat starkt i södra och mellersta Sverige och den minskar även i sitt nordliga utbredningsområde. Orsaken till tillbakagången beror främst på slutavverkningar av naturskogsartade skogar. Bestånd med riklig förekomst bör regelmässigt sparas. Garnlav är värdväxt för den mycket sällsynta och akut hotade fjärilen barrskogslavfly (CR) som hör hemma i boreala barrskogar med riklig förekomst av värdväxten. Tidigare kunde arten konstateras årligen på flera platser vid Dala-Floda i Dalarna innan lokalerna kalavverkades. Senaste fyndet i landet av barrskogslavfly är från år 2000 då den påträffades vid Högberget i Sollefteå kommun (SLU Artdatabanken, 2024).</w:t>
      </w:r>
    </w:p>
    <w:p>
      <w:r>
        <w:rPr>
          <w:b/>
        </w:rPr>
        <w:t>Grå blåbärsfältmätare (NT)</w:t>
      </w:r>
      <w:r>
        <w:t xml:space="preserve"> har tidigare ansetts som en mycket vanlig art men har utifrån fältobservationer gått starkt tillbaka och är nu försvunnen från stora delar av södra och mellersta Sverige. Sannolikt minskar arten även i norr. Detta indikerar att arten är starkare knuten till kontinuitetsskog med stort innehåll av blåbär än man tidigare trott och den förefaller vara mycket känslig för kalhyggesbruk. Fjärilens huvudsakliga habitat är luckiga granskogar med ett välutvecklat blåbärskikt på vilket larven lever. Denna livsmiljö är hotad av kalhyggesbruket där blåbärsriset skuggas ut när den uppväxande skogen sluter sig. Minskningstakten för den svenska populationen bedöms vara nära gränsvärdet för Sårbar (VU) (SLU Artdatabanken, 2024).</w:t>
      </w:r>
    </w:p>
    <w:p>
      <w:r>
        <w:rPr>
          <w:b/>
        </w:rPr>
        <w:t>Kavernularia (NT)</w:t>
      </w:r>
      <w:r>
        <w:t xml:space="preserve"> är en rikligt förgrenad bladlav, som på den svarta undersidan har rikligt med karaktäristiska små håligheter, s. k. cavernulae. Den växer på de nedre tunna grenarna av gran i halvöppna gamla granskogar i områden av Jämtland och Åsele Lappmark med ett suboceaniskt klimat. Avverkning av kontinuitetsskogar med hög och jämn luftfuktighet är ett hot. Flera områden med kavernularia måste skyddas (SLU Artdatabanken, 2024).</w:t>
      </w:r>
    </w:p>
    <w:p>
      <w:pPr>
        <w:pStyle w:val="Heading1"/>
      </w:pPr>
      <w:r>
        <w:t>Fridlysta arter</w:t>
      </w:r>
    </w:p>
    <w:p>
      <w:r>
        <w:t>Följande fridlysta arter har sina livsmiljöer och växtplatser i den avverkningsanmälda skogen: grönfink (EN, §4), talltita (NT, §4), tretåig hackspett (NT, §4), korallrot (S, §8) och lavskrika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Korallrot (§8)</w:t>
      </w:r>
      <w:r>
        <w:t xml:space="preserve"> växer i sumpskogar och annan fuktig eller växelfuktig skogsmark, exempelvis i alkärr och kärrkanter, fuktiga bäckdalar, raviner, myrlaggar, sumpiga strandskogar samt i fuktiga lundar. Den visar på mer eller mindre stabila förhållanden och intakt hydrologi och är känslig för avverkning, körskador, skogsgödsling och dikning. Arten är fridlyst enligt 8 § artskyddsförordningen (SLU Artdatabanken, 2024; Nitare &amp; Skogsstyrelsen, 2019).</w:t>
      </w:r>
    </w:p>
    <w:p>
      <w:r>
        <w:rPr>
          <w:b/>
        </w:rPr>
        <w:t>Lavskrika (§4)</w:t>
      </w:r>
      <w:r>
        <w:t>, prioriterad art i Skogsvårdslagen, är en mycket stationär fågel, som häckar i äldre, slutna och hänglavsrika barrskogar. Reviren är livslånga med hemområden som varierar mellan 50 och 150 ha. Inom ett revir av hög kvalitet finns det som regel ett eller flera kärnområden (1–20 ha) med relativt tät flerskiktad granskog. Arten missgynnas när flerskiktad skog omförs till enskiktade bestånd och även röjning och hård gallring är starkt negativt. Lavskrikan har relativt stora hemområden och försvinner när den äldre skogen fragmenteras, särskilt allvarligt är när kärnområdena avverkas. (Skogsstyrelsen 2016). Populationen har minskat med 20–40 % de senaste 30 åren. Arten försvinner successivt framför allt vid dess utbredningsgränser (SLU Artdatabanken, 2021).</w:t>
      </w:r>
    </w:p>
    <w:p>
      <w:r>
        <w:rPr>
          <w:b/>
        </w:rPr>
        <w:t>Talltita (NT, §4)</w:t>
      </w:r>
      <w:r>
        <w:t>, rödlistad som nära hotad och prioriterad art i Skogsvårdslagen har häckningsrevir i anmälan. Arten har minskat kraftigt de senaste 30 åren och minskningstakten innevarande 10-årsperiod beräknas till 20 (10–30) %. Talltitan är synnerligen trogen sitt cirka 15 hektar stora revir och är beroende av flerskiktade olikåldriga skogar för att kunna föda upp sina ungar. Talltitan försvinner om dess livsmiljö kalavverkas (Eggers &amp; Low (2014); Ekman (1979); Griesser et al (2007); Klein (2020); Siffczyk et al (2003); SLU Artdatabanken (2021).</w:t>
      </w:r>
    </w:p>
    <w:p>
      <w:r>
        <w:rPr>
          <w:b/>
        </w:rPr>
        <w:t>Tretåig hackspett (NT, §4)</w:t>
      </w:r>
      <w:r>
        <w:t xml:space="preserve"> är rödlistad som nära hotad och ingår i bilaga 1 i EU:s fågeldirektiv. Tretåig hackspett är för sin överlevnad beroende av kontinuerlig tillförsel av äldre döende och död ved, som sker genom naturliga självgallringsprocesser i äldre grannaturskogar och barrblandade naturskogar. Om en skog genom skogsbruk gallras eller glesas ur så upphör och uteblir i stort sett den naturliga självgallringsprocessen för mycket lång tid framöver vilket omöjliggör upprätthållandet av den kontinuerliga ekologiska funktionen i ett område. Det finns studier som visar att naturskogens självgallringsprocess som den tretåiga hackspetten är beroende av, inte kan ersättas med efterlämnad hänsyn i skogsbruket (Imbeau &amp; Desrochers, 2002). Storleken på häckningsreviret varierar med skogstypen, förekomsten av död ved och graden av fragmentering, men är i allmänhet i storleksordningen 25–100 hektar. Vintertid krävs ofta betydligt större områden och det finns studier som antyder att arten behöver minst 100 hektar äldre skog. I områden med låg bonitet kan det behövas över 200 hektar lämpligt habitat för att ett par ska kunna reproducera sig. Områden med dokumenterad permanent förekomst i naturskogsmiljöer har vanligen så stora naturvärden att skogsbruk är olämpligt (Skogsstyrelsen, 2016).</w:t>
      </w:r>
    </w:p>
    <w:p>
      <w:r>
        <w:t>I BILAGA 1 finns mer detaljerad information om ekologi samt krav på livsmiljö hos fridlysta arter.</w:t>
      </w:r>
    </w:p>
    <w:p>
      <w:r>
        <w:br w:type="page"/>
      </w:r>
    </w:p>
    <w:p>
      <w:pPr>
        <w:pStyle w:val="Title"/>
      </w:pPr>
      <w:r>
        <w:t>BILAGA 1 – Fridlysta arter</w:t>
      </w:r>
    </w:p>
    <w:p>
      <w:pPr>
        <w:pStyle w:val="Heading1"/>
      </w:pPr>
      <w:r>
        <w:t>Lavskrika – ekologi samt krav på livsmiljön</w:t>
      </w:r>
    </w:p>
    <w:p>
      <w:r>
        <w:t>Lavskrikan är fridlyst enligt 4 § artskyddsförordningen (2007:845) och ingår i förteckningen över prioriterade arter i Skogsstyrelsens föreskrifter och allmänna råd (SKSFS 2011:7) bilaga 4.</w:t>
      </w:r>
    </w:p>
    <w:p>
      <w:r>
        <w:t xml:space="preserve">I Skogsstyrelsens vägledning för hänsyn till fåglar står bland annat att: </w:t>
      </w:r>
      <w:r>
        <w:rPr>
          <w:i/>
        </w:rPr>
        <w:t>“Reviren är livslånga med hemområden som varierar mellan 50 och 150 ha. Hemområdena har inga fasta gränser utan det handlar mera om de yttre gränserna för familjegruppernas rörelser. Lavskrikan undviker att förflytta sig över stora öppna områden och hemområdesstorleken är därför större i områden fragmenterade av hyggen och yngre skog än i områden med i sammanhängande äldre skog. Det finns studier som antyder att det inom ett revir bör finnas maximalt 15 % öppna ytor och ungskog. Inom ett revir av hög kvalitet finns det som regel ett eller flera kärnområden (1–20 ha) med relativt tät flerskiktad granskog.”</w:t>
      </w:r>
      <w:r>
        <w:t xml:space="preserve"> Vidare att: </w:t>
      </w:r>
      <w:r>
        <w:rPr>
          <w:i/>
        </w:rPr>
        <w:t>“Arten missgynnas när flerskiktad skog omförs till enskiktade bestånd. Även skogsskötsel med återkommande röjning och hård gallring är starkt negativt. Lavskrikan har relativt stora hemområden och försvinner när den äldre skogen fragmenteras, särskilt allvarligt är när kärnområdena avverkas.”</w:t>
      </w:r>
      <w:r>
        <w:t xml:space="preserve"> (Skogsstyrelsen 2016).</w:t>
      </w:r>
    </w:p>
    <w:p>
      <w:r>
        <w:t>Populationen har minskat med 20–40 % de senaste 30 åren, men i Svensk Fågeltaxerings standardrutter varierar antalet kraftigt och ingen minskning kan skönjas de senaste 18 åren. Arten försvinner successivt framför allt vid dess utbredningsgränser (SLU Artdatabanken, 2022).</w:t>
      </w:r>
    </w:p>
    <w:p>
      <w:pPr>
        <w:pStyle w:val="Heading2"/>
      </w:pPr>
      <w:r>
        <w:t>Referenser – lavskrika</w:t>
      </w:r>
    </w:p>
    <w:p>
      <w:r>
        <w:t xml:space="preserve">Skogsstyrelsen, 2016. </w:t>
      </w:r>
      <w:r>
        <w:rPr>
          <w:i/>
        </w:rPr>
        <w:t xml:space="preserve">Vägledning för hänsyn till fåglar – lavskrika. </w:t>
      </w:r>
      <w:r>
        <w:t>https://www.skogsstyrelsen.se/globalassets/lag-och-tillsyn/artskydd/vagledningar-for-hansyn-till-faglar/lavskrika-vagledning-hansyn.pdf</w:t>
      </w:r>
    </w:p>
    <w:p>
      <w:r>
        <w:t xml:space="preserve">SLU Artdatabanken, 2021. </w:t>
      </w:r>
      <w:r>
        <w:rPr>
          <w:i/>
        </w:rPr>
        <w:t xml:space="preserve">Artfaktablad. Naturvård – artfakta. </w:t>
      </w:r>
      <w:r>
        <w:t>SLU Artdatabanken, Uppsala</w:t>
      </w:r>
    </w:p>
    <w:p>
      <w:pPr>
        <w:pStyle w:val="Heading1"/>
      </w:pPr>
      <w:r>
        <w:t>Talltita – ekologi samt krav på livsmiljön</w:t>
      </w:r>
    </w:p>
    <w:p>
      <w:r>
        <w:t>Talltita är rödlistad som NT, fridlyst och prioriterad art i Skogsvårdslagen. Den omfattas av EU:s fågeldirektiv. Arten har minskat kraftigt de senaste 30 åren och minskningstakten innevarande 10-årsperiod beräknas till 20 (10–30) % (SLU Artdatabanken, 2022).</w:t>
      </w:r>
    </w:p>
    <w:p>
      <w:r>
        <w:t>Talltita föredrar större sammanhängande barrskogar, och finns såväl i tallskog som granskog och i lövblandad barrskog. Skogens struktur är viktig och ska helst vara flerskiktad med riklig underväxt av mindre granar, björk och andra lövträd och buskar. Tillgång på murknande högstubbar är särskilt viktig, eftersom talltitan helst själv hackar ut sitt bohål (SLU Artdatabanken, 2022).</w:t>
      </w:r>
    </w:p>
    <w:p>
      <w:r>
        <w:t>Det finns flera studier som visar att talltita är känslig för gallring och inte överlever när dess livsmiljö kalavverkas (Eggers and Low, 2014; Griesser et al., 2007; Klein, 2020). Talltitans revir är förhållandevis stora, 10–20 hektar och arten missgynnas när skogen fragmenteras. Kalavverkning av större delar av reviret innebär att det överges (Artdatabanken, 2021).</w:t>
      </w:r>
    </w:p>
    <w:p>
      <w:r>
        <w:t>Talltitan är synnerligen trogen sitt revir så länge paret lever och biotopen förblir intakt. Paret stannar i sitt revir året om. En förlust av ett revir har därför en stor inverkan på den lokala populationen och trakthyggesbruket anses vara orsak till den svenska populationens kraftiga minskning. Talltiteparets revirtrohet innebär att närhelst under året man observerar en adult talltita så ingår denna plats i reviret (Siffczyk et al., 2003; Ekman, 1979).</w:t>
      </w:r>
    </w:p>
    <w:p>
      <w:pPr>
        <w:pStyle w:val="Heading2"/>
      </w:pPr>
      <w:r>
        <w:t>Referenser – talltita</w:t>
      </w:r>
    </w:p>
    <w:p>
      <w:r>
        <w:t xml:space="preserve">Eggers, S., Low, M., 2014. </w:t>
      </w:r>
      <w:r>
        <w:rPr>
          <w:i/>
        </w:rPr>
        <w:t xml:space="preserve">Differential demographic responses of sympatric Parids to vegetation management in boreal forest. </w:t>
      </w:r>
      <w:r>
        <w:t>For. Ecol. Manage. 319, 169–175.</w:t>
      </w:r>
    </w:p>
    <w:p>
      <w:r>
        <w:t xml:space="preserve">Ekman, J., 1979. </w:t>
      </w:r>
      <w:r>
        <w:rPr>
          <w:i/>
        </w:rPr>
        <w:t xml:space="preserve">Coherence, composition and territories of winter social groups of the Willow Tit Parus montanus and the Crested Tit P. cristatus. </w:t>
      </w:r>
      <w:r>
        <w:t>Ornis Scandinavica, 10, pp 56–68</w:t>
      </w:r>
    </w:p>
    <w:p>
      <w:r>
        <w:t xml:space="preserve">Griesser, M., Nystrand, M., Eggers, S., Ekman, J., 2007. </w:t>
      </w:r>
      <w:r>
        <w:rPr>
          <w:i/>
        </w:rPr>
        <w:t xml:space="preserve">Impact of forestry practices on fitness correlates and population productivity in an open-nesting bird species. </w:t>
      </w:r>
      <w:r>
        <w:t>Conserv. Biol. 21, 767–774. https://doi.org/10.1111/j.1523- 1739.2007.00675.x</w:t>
      </w:r>
    </w:p>
    <w:p>
      <w:r>
        <w:t xml:space="preserve">Klein, J., 2020. </w:t>
      </w:r>
      <w:r>
        <w:rPr>
          <w:i/>
        </w:rPr>
        <w:t xml:space="preserve">The forgotten forest – On thinning, retention, and biodiversity in the boreal forest. </w:t>
      </w:r>
      <w:r>
        <w:t>Doctoral Thesis No. 2020:50</w:t>
      </w:r>
    </w:p>
    <w:p>
      <w:r>
        <w:t xml:space="preserve">Siffczyk, C., Brotons, L., Kangas, K., Orell, M., 2003. </w:t>
      </w:r>
      <w:r>
        <w:rPr>
          <w:i/>
        </w:rPr>
        <w:t xml:space="preserve">Home range size of willow tits. </w:t>
      </w:r>
      <w:r>
        <w:t>Oecologica, 136, 635–642 (2003)</w:t>
      </w:r>
    </w:p>
    <w:p>
      <w:r>
        <w:t xml:space="preserve">SLU Artdatabanken, 2021. </w:t>
      </w:r>
      <w:r>
        <w:rPr>
          <w:i/>
        </w:rPr>
        <w:t xml:space="preserve">Artfaktablad. Naturvård – artfakta. </w:t>
      </w:r>
      <w:r>
        <w:t>SLU Artdatabanken, Uppsala</w:t>
      </w:r>
    </w:p>
    <w:p>
      <w:pPr>
        <w:pStyle w:val="Heading1"/>
      </w:pPr>
      <w:r>
        <w:t>Tretåig hackspett – ekologi samt krav på livsmiljön</w:t>
      </w:r>
    </w:p>
    <w:p>
      <w:r>
        <w:t xml:space="preserve">Tretåig hackspett (NT) är fridlyst enligt §4 Artskyddsförordningen och finns med som prioriterad art i Skogsstyrelsen vägledning för skogsbruket (bilaga 4 till SVL). I vägledningen står bland annat att: </w:t>
      </w:r>
      <w:r>
        <w:rPr>
          <w:i/>
        </w:rPr>
        <w:t xml:space="preserve">“Tretåig hackspett har stora arealkrav och höga krav på sin livsmiljö. Omdaningen av naturskogar till kulturskogar medför en förlust av viktiga miljöer, något som förstärks av ökad fragmentering till följd av avverkningar.” </w:t>
      </w:r>
      <w:r>
        <w:t xml:space="preserve">Vidare att: </w:t>
      </w:r>
      <w:r>
        <w:rPr>
          <w:i/>
        </w:rPr>
        <w:t>“Områden med dokumenterad permanent förekomst i naturskogsmiljöer har vanligen så stora naturvärden att skogsbruk är olämpligt”.</w:t>
      </w:r>
    </w:p>
    <w:p>
      <w:r>
        <w:t>Tretåig hackspett är beroende av större sammanhängande naturskogar med kontinuerlig tillgång och nybildning av död ved och fragmentering av livsmiljöerna utgör ett stort hot mot arten (se exempelvis Stachura-Skierczynska et al., 2009; Wesolowski et al., 2005; Butler et al., 2004; Pakkala et al., 2002; Amcoff et al., 1996; Virkkala, 1991). Det finns studier som visar att naturskogens självgallringsprocess som den tretåiga hackspetten är beroende av, inte kan ersättas med efterlämnad hänsyn i skogsbruket (Imbeau &amp; Desrochers, 2002).</w:t>
      </w:r>
    </w:p>
    <w:p>
      <w:r>
        <w:t>Permanenta revir av tretåig hackspett karaktäriseras ofta av artens typiska ringformigt ordnade hackmärken på framför allt gamla granar. För att säkerställa att inte revir av tretåig hackspett drabbas av avverkningsplanerna bör en inventering göras i området både under häckningstid och under vintern, då arten utnyttjar betydligt större områden än under sommarens häckningsrevir. Storleken på häckningsreviret varierar med skogstypen, förekomsten av död ved och graden av fragmentering, men är i allmänhet i storleksordningen 25–100 hektar.</w:t>
      </w:r>
    </w:p>
    <w:p>
      <w:r>
        <w:t>Förutom fridlysning enligt §4 Artskyddsförordningen är tretåig hackspett även förtecknad i EU:s fågeldirektiv bilaga 1. Den ingår också i Natura 2000 och är förtecknad i Bernkonventionen bilaga II (strikt skyddade djurarter).</w:t>
      </w:r>
    </w:p>
    <w:p>
      <w:pPr>
        <w:pStyle w:val="Heading2"/>
      </w:pPr>
      <w:r>
        <w:t>Referenser – tretåig hackspett</w:t>
      </w:r>
    </w:p>
    <w:p>
      <w:r>
        <w:t xml:space="preserve">Amcoff, M. &amp; Eriksson, P. 1996. </w:t>
      </w:r>
      <w:r>
        <w:rPr>
          <w:i/>
        </w:rPr>
        <w:t xml:space="preserve">Förekomst av tretåig hackspett Picoides tridactylus på bestånds- och landskapsnivå. </w:t>
      </w:r>
      <w:r>
        <w:t>Ornis Svecica 6: 107–119</w:t>
      </w:r>
    </w:p>
    <w:p>
      <w:r>
        <w:t xml:space="preserve">Butler, R., Angelstam, P., Ekelund, P. &amp; Schlaeffer, R. 2004. </w:t>
      </w:r>
      <w:r>
        <w:rPr>
          <w:i/>
        </w:rPr>
        <w:t xml:space="preserve">Dead wood threshold values for the three-toed woodpecker presence in boreal and sub-Alpine forest. </w:t>
      </w:r>
      <w:r>
        <w:t>Biological conservation 119(3): 305–318</w:t>
      </w:r>
    </w:p>
    <w:p>
      <w:r>
        <w:t xml:space="preserve">Imbeau, L. &amp; Desrochers, A. 2002. </w:t>
      </w:r>
      <w:r>
        <w:rPr>
          <w:i/>
        </w:rPr>
        <w:t xml:space="preserve">Foraging Ecology and Use of Drumming Trees by Three-Toed Woodpeckers. </w:t>
      </w:r>
      <w:r>
        <w:t>The Journal of Wildlife Management. Vol. 66, No. 1 (Jan., 2002), pp. 222–231.</w:t>
      </w:r>
    </w:p>
    <w:p>
      <w:r>
        <w:t xml:space="preserve">Pakkala, T., Hanski, I. &amp; Tomppo, E. 2002. </w:t>
      </w:r>
      <w:r>
        <w:rPr>
          <w:i/>
        </w:rPr>
        <w:t xml:space="preserve">Spatial ecology of the three-toed woodpecker in managed forest landscapes. </w:t>
      </w:r>
      <w:r>
        <w:t>Silva Fennica 36(1): 279–288.</w:t>
      </w:r>
    </w:p>
    <w:p>
      <w:r>
        <w:t xml:space="preserve">Skogsstyrelsen, 2016. </w:t>
      </w:r>
      <w:r>
        <w:rPr>
          <w:i/>
        </w:rPr>
        <w:t xml:space="preserve">Vägledning för hänsyn till fåglar – Tretåig hackspett. </w:t>
      </w:r>
      <w:r>
        <w:t>www.skogsstyrelsen.se</w:t>
      </w:r>
    </w:p>
    <w:p>
      <w:r>
        <w:t xml:space="preserve">Stachura-Skierczynska, K., Tumiel, T. &amp; Skierczynski, M. 2009. </w:t>
      </w:r>
      <w:r>
        <w:rPr>
          <w:i/>
        </w:rPr>
        <w:t xml:space="preserve">Habitat prediction model for three-toed woodpecker and its implications for the conservation of biologically valuable forests. </w:t>
      </w:r>
      <w:r>
        <w:t>Forest Ecology and Management 258(5): 697–703.</w:t>
      </w:r>
    </w:p>
    <w:p>
      <w:r>
        <w:t xml:space="preserve">Virkkala, R. 1991. </w:t>
      </w:r>
      <w:r>
        <w:rPr>
          <w:i/>
        </w:rPr>
        <w:t xml:space="preserve">Population trends of forest birds in a Finnish Lapland landscape of large habitat blocks – Consequences of stochastic environmental variation or regional habitat alteration. </w:t>
      </w:r>
      <w:r>
        <w:t>Biological conservation 56(2): 223–240</w:t>
      </w:r>
    </w:p>
    <w:p>
      <w:r>
        <w:t xml:space="preserve">Wesolowski, T., Czeszczewik, D. &amp; Rowinski, P. 2005. </w:t>
      </w:r>
      <w:r>
        <w:rPr>
          <w:i/>
        </w:rPr>
        <w:t xml:space="preserve">Effects of forest management on Three-toed Woodpecker Picoides tridactylus distribution in the Bialowieza Forest (NE Poland): conservation implications. </w:t>
      </w:r>
      <w:r>
        <w:t>Acta Ornithologica 40(1): 53–60.</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2025-12-07</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