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10723-2023 i Åre kommun</w:t>
      </w:r>
    </w:p>
    <w:p>
      <w:r>
        <w:t>Detta klagomål behandlar höga naturvärden i avverkningsanmälan A 10723-2023 i Åre kommun som inkom 2023-02-27 och omfattar 67,5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10723-2023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7017204, E 368971 i SWEREF 99 TM.</w:t>
      </w:r>
    </w:p>
    <w:p>
      <w:r>
        <w:t>I och inom 21 meter från avverkningsanmälan finns fynd av 20 naturvårdsarter, varav 14 är rödlistade, 6 är fridlysta, 13 är typiska (T) och 4 är signalarter (S): garnlav (VU, T), läderlappslav (VU, T), gammelgransskål (NT, T), halmgul örnlav (NT), kavernularia (NT), knottrig blåslav (NT, T), lavskrika (NT, T, §4), liten svartspik (NT), Rostania effusa (NT), skrovellav (NT, T), talltita (NT, §4), tretåig hackspett (NT, T, §4), vedflamlav (NT), vitgrynig nållav (NT), bårdlav (S, T), korallblylav (S, T), spindelblomster (S, T, §8), vedticka (S,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i/>
        </w:rPr>
        <w:t xml:space="preserve">Rostania effusa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Minskningen avser förekomstarea, kvalitén på artens habitat, antalet lokalområden och antalet reproduktiva individer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