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33400-2024 i Bergs kommun</w:t>
      </w:r>
    </w:p>
    <w:p>
      <w:r>
        <w:t>Detta klagomål behandlar höga naturvärden i avverkningsanmälan A 33400-2024 i Bergs kommun som inkom 2024-08-15 och omfattar 19,1 ha.</w:t>
      </w:r>
    </w:p>
    <w:p>
      <w:pPr>
        <w:pStyle w:val="Caption"/>
      </w:pPr>
      <w:r>
        <w:drawing>
          <wp:inline xmlns:a="http://schemas.openxmlformats.org/drawingml/2006/main" xmlns:pic="http://schemas.openxmlformats.org/drawingml/2006/picture">
            <wp:extent cx="5072919" cy="5724000"/>
            <wp:docPr id="1" name="Picture 1"/>
            <wp:cNvGraphicFramePr>
              <a:graphicFrameLocks noChangeAspect="1"/>
            </wp:cNvGraphicFramePr>
            <a:graphic>
              <a:graphicData uri="http://schemas.openxmlformats.org/drawingml/2006/picture">
                <pic:pic>
                  <pic:nvPicPr>
                    <pic:cNvPr id="0" name="A 33400-2024 karta.png"/>
                    <pic:cNvPicPr/>
                  </pic:nvPicPr>
                  <pic:blipFill>
                    <a:blip r:embed="rId16"/>
                    <a:stretch>
                      <a:fillRect/>
                    </a:stretch>
                  </pic:blipFill>
                  <pic:spPr>
                    <a:xfrm>
                      <a:off x="0" y="0"/>
                      <a:ext cx="507291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6976373, E 450788 i SWEREF 99 TM.</w:t>
      </w:r>
    </w:p>
    <w:p>
      <w:r>
        <w:t>I avverkningsanmälan finns fynd av 14 naturvårdsarter, varav 12 är rödlistade, 2 är fridlysta, 12 är typiska (T) och 2 är signalarter (S): garnlav (VU, T), gränsticka (VU, T), ulltickeporing (VU), blanksvart spiklav (NT), doftskinn (NT, T), gammelgransskål (NT, T), knottrig blåslav (NT, T), kolflarnlav (NT, T), lavskrika (NT, T, §4), rosenticka (NT, T), tretåig hackspett (NT, T, §4), ullticka (NT, T), luddlav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