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25 meter från avverkningsanmälan finns fynd av 6 naturvårdsarter, varav 5 är rödlistade, 2 är fridlysta, 5 är typiska (T) och 1 är signalart (S): gräddporing (VU, T), skuggblåslav (NT, T), talltagel (NT, T), tretåig hackspett (NT, T, §4),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skuggblåslav (NT, T), talltagel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