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17109-2024 i Bergs kommun</w:t>
      </w:r>
    </w:p>
    <w:p>
      <w:r>
        <w:t>Detta klagomål behandlar höga naturvärden i avverkningsanmälan A 17109-2024 i Bergs kommun som inkom 2024-04-30 och omfattar 18,0 ha.</w:t>
      </w:r>
    </w:p>
    <w:p>
      <w:pPr>
        <w:pStyle w:val="Caption"/>
      </w:pPr>
      <w:r>
        <w:drawing>
          <wp:inline xmlns:a="http://schemas.openxmlformats.org/drawingml/2006/main" xmlns:pic="http://schemas.openxmlformats.org/drawingml/2006/picture">
            <wp:extent cx="5271152" cy="5724000"/>
            <wp:docPr id="1" name="Picture 1"/>
            <wp:cNvGraphicFramePr>
              <a:graphicFrameLocks noChangeAspect="1"/>
            </wp:cNvGraphicFramePr>
            <a:graphic>
              <a:graphicData uri="http://schemas.openxmlformats.org/drawingml/2006/picture">
                <pic:pic>
                  <pic:nvPicPr>
                    <pic:cNvPr id="0" name="A 17109-2024 karta.png"/>
                    <pic:cNvPicPr/>
                  </pic:nvPicPr>
                  <pic:blipFill>
                    <a:blip r:embed="rId16"/>
                    <a:stretch>
                      <a:fillRect/>
                    </a:stretch>
                  </pic:blipFill>
                  <pic:spPr>
                    <a:xfrm>
                      <a:off x="0" y="0"/>
                      <a:ext cx="527115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6965497, E 388309 i SWEREF 99 TM.</w:t>
      </w:r>
    </w:p>
    <w:p>
      <w:r>
        <w:t>I och inom 20 meter från avverkningsanmälan finns fynd av 11 naturvårdsarter, varav 8 är rödlistade, 1 är fridlyst, 10 är typiska (T) och 3 är signalarter (S): garnlav (VU, T), gränsticka (VU, T), gammelgransskål (NT, T), harticka (NT, T), skrovellav (NT, T), tretåig hackspett (NT, T, §4), vedtrappmossa (NT, T), vitgrynig nållav (NT), bårdlav (S, T), luddlav (S, T)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