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32323-2023 i Bergs kommun</w:t>
      </w:r>
    </w:p>
    <w:p>
      <w:r>
        <w:t>Denna tillsynsbegäran behandlar höga naturvärden i avverkningsanmälan A 32323-2023 i Bergs kommun som inkom 2023-07-03 och omfattar 76,7 ha.</w:t>
      </w:r>
    </w:p>
    <w:p>
      <w:pPr>
        <w:pStyle w:val="Caption"/>
      </w:pPr>
      <w:r>
        <w:drawing>
          <wp:inline xmlns:a="http://schemas.openxmlformats.org/drawingml/2006/main" xmlns:pic="http://schemas.openxmlformats.org/drawingml/2006/picture">
            <wp:extent cx="5486400" cy="3708577"/>
            <wp:docPr id="1" name="Picture 1"/>
            <wp:cNvGraphicFramePr>
              <a:graphicFrameLocks noChangeAspect="1"/>
            </wp:cNvGraphicFramePr>
            <a:graphic>
              <a:graphicData uri="http://schemas.openxmlformats.org/drawingml/2006/picture">
                <pic:pic>
                  <pic:nvPicPr>
                    <pic:cNvPr id="0" name="A 32323-2023 karta.png"/>
                    <pic:cNvPicPr/>
                  </pic:nvPicPr>
                  <pic:blipFill>
                    <a:blip r:embed="rId16"/>
                    <a:stretch>
                      <a:fillRect/>
                    </a:stretch>
                  </pic:blipFill>
                  <pic:spPr>
                    <a:xfrm>
                      <a:off x="0" y="0"/>
                      <a:ext cx="5486400" cy="370857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6969201, E 392800 i SWEREF 99 TM.</w:t>
      </w:r>
    </w:p>
    <w:p>
      <w:r>
        <w:t>I och inom 24 meter från avverkningsanmälan finns fynd av 48 naturvårdsarter, varav 26 är rödlistade, 8 är fridlysta, 36 är typiska (T) och 17 är signalarter (S): garnlav (VU, T), gränsticka (VU, T), liten sotlav (VU, T), mörk rödprick (VU), vitskaftad svartspik (VU, T), doftskinn (NT, T), gammelgransskål (NT, T), knottrig blåslav (NT, T), lavskrika (NT, T, §4), lunglav (NT, T), parknål (NT), rosa skärelav (NT, T), rosenticka (NT, T), rynkskinn (NT, T), rödbrun blekspik (NT, T), skrovellav (NT, T), skuggblåslav (NT, T), stjärntagging (NT, T), talltita (NT, §4), tretåig hackspett (NT, T, §4), ullticka (NT, T), vedflamlav (NT), vedflikmossa (NT), vedskivlav (NT, T), violettgrå tagellav (NT, T), vitgrynig nållav (NT), bronshjon (S, T), bårdlav (S, T), gulnål (S, T), gytterlav (S, T), korallblylav (S, T), källmossa (S), källpraktmossa (S, T), kärrkammossa (S, T), luddlav (S, T), mörk husmossa (S, T), skogshakmossa (S, T), spindelblomster (S, T, §8), stuplav (S, T), thomsons trägnagare (S), vedticka (S, T), vågbandad barkbock (S), ögonpyrola (S, T), sälg (T), tjäder (T, §4), kungsfågel (§4),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Mörk rödprick (VU)</w:t>
      </w:r>
      <w:r>
        <w:t xml:space="preserve"> är en fläcklav som påträffats på gran, sälg och björk i boreala grandominerade kontinuitetsskogar med hög och jämn luftfuktighet. Arten hotas främst av att arealen gammal boreal granskog med grova sälgar och hög luftfuktighet minskat. Barrskog äldre än 160 år har minskat med 50% de senaste 50 åren. Artens population bedöms ha minskat med minst 30% under samma tidsperiod (3 generation för arten) och bedömningen är att populationen kommer att fortsätta minska med ytterligare åtminstone 30% de kommande 50 åren. Några lokaler är naturreservat men ytterligare lokaler måste skyddas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vitskaftad svartspik (VU, T), doftskinn (NT, T), gammelgransskål (NT, T), knottrig blåslav (NT, T), lavskrika (NT, T, §4), lunglav (NT, T), rosa skärelav (NT, T), rosenticka (NT, T), rynkskinn (NT, T), rödbrun blekspik (NT, T), skrovellav (NT, T), skuggblåslav (NT, T), stjärntagging (NT, T), tretåig hackspett (NT, T, §4), ullticka (NT, T), vedskivlav (NT, T), violettgrå tagellav (NT, T), bronshjon (S, T), bårdlav (S, T), gulnål (S, T), gytterlav (S, T), korallblylav (S, T), källpraktmossa (S, T), kärrkammossa (S, T), luddlav (S, T), mörk husmossa (S, T), skogshakmossa (S, T), spindelblomster (S, T, §8), stuplav (S, T), vedticka (S, T), ögonpyrola (S, T), sälg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