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21 meter från avverkningsanmälan finns fynd av 15 naturvårdsarter, varav 13 är rödlistade, 1 är fridlyst, 7 är typiska (T) och 2 är signalarter (S): fläckporing (VU, T), gräddporing (VU, T), laxgröppa (VU), blanksvart spiklav (NT), blågrå svartspik (NT), dvärgbägarlav (NT, T), mörk kolflarnlav (NT), nordtagging (NT), vaddporing (NT), vedflamlav (NT), vedskivlav (NT, T), violmussling (NT, T), vitplätt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