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17 naturvårdsarter, varav 12 är rödlistade, 3 är fridlysta, 11 är typiska (T) och 2 är signalarter (S): urskogsporing (EN), fläckporing (VU, T), gräddporing (VU, T), smalfotad taggsvamp (VU), dropptaggsvamp (NT, T), dvärgbägarlav (NT, T), lavskrika (NT, T, §4), motaggsvamp (NT, T), nordtagging (NT), vaddporing (NT), vedflamlav (NT), vedskivlav (NT, T), tibast (S, T), vedticka (S, T), kattfot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