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17 naturvårdsarter, varav 12 är rödlistade, 3 är fridlysta, 11 är typiska (T) och 2 är signalarter (S): urskogsporing (EN), fläckporing (VU, T), gräddporing (VU, T), smalfotad taggsvamp (VU), dropptaggsvamp (NT, T), dvärgbägarlav (NT, T), lavskrika (NT, T, §4), motaggsvamp (NT, T), nordtagging (NT), vaddporing (NT), vedflamlav (NT), vedskivlav (NT, T), tibast (S, T), vedticka (S, T), kattfot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lavskrika (NT, T, §4), motaggsvamp (NT, T), vedskivlav (NT, T), tibast (S, T), vedticka (S,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