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29725-2026 i Bergs kommun</w:t>
      </w:r>
    </w:p>
    <w:p>
      <w:r>
        <w:t>Detta klagomål behandlar höga naturvärden i avverkningsanmälan A 29725-2026 i Bergs kommun som inkom 2026-07-01 och omfattar 4,2 ha.</w:t>
      </w:r>
    </w:p>
    <w:p>
      <w:pPr>
        <w:pStyle w:val="Caption"/>
      </w:pPr>
      <w:r>
        <w:drawing>
          <wp:inline xmlns:a="http://schemas.openxmlformats.org/drawingml/2006/main" xmlns:pic="http://schemas.openxmlformats.org/drawingml/2006/picture">
            <wp:extent cx="5486400" cy="5476973"/>
            <wp:docPr id="1" name="Picture 1"/>
            <wp:cNvGraphicFramePr>
              <a:graphicFrameLocks noChangeAspect="1"/>
            </wp:cNvGraphicFramePr>
            <a:graphic>
              <a:graphicData uri="http://schemas.openxmlformats.org/drawingml/2006/picture">
                <pic:pic>
                  <pic:nvPicPr>
                    <pic:cNvPr id="0" name="A 29725-2026 karta.png"/>
                    <pic:cNvPicPr/>
                  </pic:nvPicPr>
                  <pic:blipFill>
                    <a:blip r:embed="rId16"/>
                    <a:stretch>
                      <a:fillRect/>
                    </a:stretch>
                  </pic:blipFill>
                  <pic:spPr>
                    <a:xfrm>
                      <a:off x="0" y="0"/>
                      <a:ext cx="5486400" cy="547697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6965962, E 432405 i SWEREF 99 TM.</w:t>
      </w:r>
    </w:p>
    <w:p>
      <w:r>
        <w:t>I avverkningsanmälan finns fynd av 1 naturvårdsarter, varav 1 är rödlistad och 1 är typisk (T): reliktbock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Reliktbock (NT)</w:t>
      </w:r>
      <w:r>
        <w:t xml:space="preserve"> är en skalbagge vars larvutveckling sker i tjock, solexponerad skorpbark på gamla, levande tallar. Ofta i träd som under längre tid stått fritt och öppet, t.ex. i kantzoner i odlingslandskap, längs stränder och åsar, men också i gles, gammal tallskog på mager mark. Arten är brandgynnad genom att omgivande småträd och buskar försvinner vid lågintensiva bränder samtidigt som gamla tallar överlever och förblir solexponerade. Minskningstakten för den svenska populationen bedöms vara nära gränsvärdet för Sårbar (VU) och i den europeiska rödlistan är reliktbock rödlistad som Sårbar (VU) vilket innebär att Sverige har ett internationellt ansvar för arten. Gamla tallskogar bör få ett långsiktigt skydd, och inte slutavverkas. Reliktbock är typisk art för </w:t>
      </w:r>
      <w:r>
        <w:rPr>
          <w:i/>
        </w:rPr>
        <w:t>9010 Taiga</w:t>
      </w:r>
      <w:r>
        <w:t xml:space="preserve"> och</w:t>
      </w:r>
      <w:r>
        <w:rPr>
          <w:i/>
        </w:rPr>
        <w:t xml:space="preserve"> 9060 Åsbarrskog</w:t>
      </w:r>
      <w:r>
        <w:t xml:space="preserve"> (SLU Artdatabanken, 2024; IUCN,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