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12 naturvårdsarter, varav 11 är rödlistade, 2 är fridlysta, 8 är typiska (T) och 1 är signalart (S): gräddporing (VU, T), gränsticka (VU, T), blanksvart spiklav (NT), dvärgbägarlav (NT, T), kådvaxskinn (NT), nordtagging (NT), reliktbock (NT, T), talltita (NT, §4), tretåig hackspett (NT, T, §4), vedskivlav (NT, T), vedtrappmossa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reliktbock (NT, T), tretåig hackspett (NT, T, §4),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