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17919-2024 i Bergs kommun</w:t>
      </w:r>
    </w:p>
    <w:p>
      <w:r>
        <w:t>Detta klagomål behandlar höga naturvärden i avverkningsanmälan A 17919-2024 i Bergs kommun som inkom 2024-05-07 och omfattar 10,3 ha.</w:t>
      </w:r>
    </w:p>
    <w:p>
      <w:pPr>
        <w:pStyle w:val="Caption"/>
      </w:pPr>
      <w:r>
        <w:drawing>
          <wp:inline xmlns:a="http://schemas.openxmlformats.org/drawingml/2006/main" xmlns:pic="http://schemas.openxmlformats.org/drawingml/2006/picture">
            <wp:extent cx="5486400" cy="5469432"/>
            <wp:docPr id="1" name="Picture 1"/>
            <wp:cNvGraphicFramePr>
              <a:graphicFrameLocks noChangeAspect="1"/>
            </wp:cNvGraphicFramePr>
            <a:graphic>
              <a:graphicData uri="http://schemas.openxmlformats.org/drawingml/2006/picture">
                <pic:pic>
                  <pic:nvPicPr>
                    <pic:cNvPr id="0" name="A 17919-2024 karta.png"/>
                    <pic:cNvPicPr/>
                  </pic:nvPicPr>
                  <pic:blipFill>
                    <a:blip r:embed="rId16"/>
                    <a:stretch>
                      <a:fillRect/>
                    </a:stretch>
                  </pic:blipFill>
                  <pic:spPr>
                    <a:xfrm>
                      <a:off x="0" y="0"/>
                      <a:ext cx="5486400" cy="5469432"/>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6951586, E 477656 i SWEREF 99 TM.</w:t>
      </w:r>
    </w:p>
    <w:p>
      <w:r>
        <w:t>I och inom 21 meter från avverkningsanmälan finns fynd av 40 naturvårdsarter, varav 19 är rödlistade, 11 är fridlysta, 28 är typiska (T) och 16 är signalarter (S): doftticka (VU, T, §8), garnlav (VU, T), smalskaftslav (VU), brunpudrad nållav (NT, T), doftskinn (NT, T), gammelgransskål (NT, T), harticka (NT, T), kötticka (NT), lavskrika (NT, T, §4), lunglav (NT, T), skorpgelélav (NT), skrovellav (NT, T), sparvuggla (NT, §4), stjärntagging (NT, T), tretåig hackspett (NT, T, §4), ullticka (NT, T), vedflamlav (NT), violettgrå tagellav (NT, T), vitgrynig nållav (NT), barkkornlav (S, T), bronshjon (S, T), bårdlav (S, T), korallrot (S, T, §8), kransrams (S, T), källmossa (S), källpraktmossa (S, T), luddlav (S, T), mörk husmossa (S, T), plattlummer (S, T, §9), rödgul trumpetsvamp (S), skinnlav (S, T), skogshakmossa (S, T), spindelblomster (S, T, §8), stuplav (S, T), vågbandad barkbock (S), järpe (T, §4), sälg (T), orre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Skorpgelélav (NT) </w:t>
      </w:r>
      <w:r>
        <w:t>är spridd men sällsynt över stora delar av landet. Växer på gamla lövträd och kräver, åtminstone periodvis, hög luftfuktighet. Oftast står lövträden inne i gammal barrskog. I sydvästra Sverige växer den även på vårdträd i områden med hög luftfuktighet. De största kvarvarande populationerna finns sannolikt i fjällnära skog. I södra Sverige hotas laven av att gamla trädbestånd i parker och kyrkogårdar avverkas. I norra Sverige är det största hotet avverkning av asp och sälg. I ett landskapsperspektiv kan ett rikt asp- och sälginslag i barrskog, liksom den fauna och flora som förekommer i denna miljö, enbart säkerställas genom bränder eller brandliknande åtgärder (SLU Artdatabanken, 2025).</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Kransrams</w:t>
      </w:r>
      <w:r>
        <w:t xml:space="preserve"> är typisk art för </w:t>
      </w:r>
      <w:r>
        <w:rPr>
          <w:i/>
        </w:rPr>
        <w:t xml:space="preserve">9020 Nordlig ädellövskog </w:t>
      </w:r>
      <w:r>
        <w:t>(SLU Artdatabanken, 2025).</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 xml:space="preserve">Sälg </w:t>
      </w:r>
      <w:r>
        <w:t xml:space="preserve">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40 naturvårdsarter varav 19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