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33056-2024 i Bergs kommun</w:t>
      </w:r>
    </w:p>
    <w:p>
      <w:r>
        <w:t>Denna tillsynsbegäran behandlar höga naturvärden i avverkningsanmälan A 33056-2024 i Bergs kommun som inkom 2024-08-13 och omfattar 15,1 ha.</w:t>
      </w:r>
    </w:p>
    <w:p>
      <w:pPr>
        <w:pStyle w:val="Caption"/>
      </w:pPr>
      <w:r>
        <w:drawing>
          <wp:inline xmlns:a="http://schemas.openxmlformats.org/drawingml/2006/main" xmlns:pic="http://schemas.openxmlformats.org/drawingml/2006/picture">
            <wp:extent cx="4930977" cy="5724000"/>
            <wp:docPr id="1" name="Picture 1"/>
            <wp:cNvGraphicFramePr>
              <a:graphicFrameLocks noChangeAspect="1"/>
            </wp:cNvGraphicFramePr>
            <a:graphic>
              <a:graphicData uri="http://schemas.openxmlformats.org/drawingml/2006/picture">
                <pic:pic>
                  <pic:nvPicPr>
                    <pic:cNvPr id="0" name="A 33056-2024 karta.png"/>
                    <pic:cNvPicPr/>
                  </pic:nvPicPr>
                  <pic:blipFill>
                    <a:blip r:embed="rId16"/>
                    <a:stretch>
                      <a:fillRect/>
                    </a:stretch>
                  </pic:blipFill>
                  <pic:spPr>
                    <a:xfrm>
                      <a:off x="0" y="0"/>
                      <a:ext cx="4930977"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6943596, E 490708 i SWEREF 99 TM.</w:t>
      </w:r>
    </w:p>
    <w:p>
      <w:r>
        <w:t>I avverkningsanmälan finns fynd av 24 naturvårdsarter, varav 16 är rödlistade, 11 är fridlysta, 14 är typiska (T) och 3 är signalarter (S): doftticka (VU, T, §8), garnlav (VU, T), gränsticka (VU, T), knärot (VU, T, §8), björktrast (NT, §4), gammelgransskål (NT, T), harticka (NT, T), lunglav (NT, T), mörk kolflarnlav (NT), rödvingetrast (NT, §4), skrovellav (NT, T), talltita (NT, §4), tretåig hackspett (NT, T, §4), vedflamlav (NT), vedtrappmossa (NT, T), vitgrynig nållav (NT), luddlav (S, T), norrlandslav (S, T), stuplav (S, T), tjäder (T, §4), grönsiska (§4), kungsfågel (§4), smålom (§4) och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Doftticka (VU, §8)</w:t>
      </w:r>
      <w:r>
        <w:t xml:space="preserve"> är rödlistad som sårbar (VU) och fridlyst enligt 8§ artskyddsförordningen. Den är även globalt rödlistad som Nära hotad (NT) vilket innebär att Sverige har ett internationellt ansvar för arten. Doftticka är beroende av hög och jämn luftfuktighet i gamla, ostörda skogsmiljöer och är känslig för snabba förändringar av ljus-/vindförhållanden eller uttorkning. Dofttickan är placerad i toppen av Skogsstyrelsens värdepyramid för bedömning av skog med höga naturvärden och signalerar alltid gamla sälgar och skogsområden med höga naturvärden. Avverkning av värdträd (främst sälg) utgör det största hotet och när gamla och olikåldriga skogar med sälg avverkas försvinner oftast sälgen. Dofttickan har minskat med ca 30 % under de senaste 30 åren och är typisk art för </w:t>
      </w:r>
      <w:r>
        <w:rPr>
          <w:i/>
        </w:rPr>
        <w:t>9010 Taiga</w:t>
      </w:r>
      <w:r>
        <w:t xml:space="preserve"> och</w:t>
      </w:r>
      <w:r>
        <w:rPr>
          <w:i/>
        </w:rPr>
        <w:t xml:space="preserve"> 9050 Näringsrik granskog </w:t>
      </w:r>
      <w:r>
        <w:t>(IUCN Redlist, 2024; Nitare &amp; Skogsstyrelsen, 2019; SLU Artdatabanken, 2024).</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Gränsticka (VU)</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Den totala populationen bedöms ha minskat och fortsätter att minska i takt med att grankontinuitetsskogar (äldre tidigare icke kalavverkade skogar) minskar i areal. Minskningstakten överstiger gränsvärdet för sårbar (VU). Lokaler som hyser arten bör undantas från skogsbruk, speciellt i mellersta och södra Sverige. Gränsticka är typisk art för </w:t>
      </w:r>
      <w:r>
        <w:rPr>
          <w:i/>
        </w:rPr>
        <w:t>9010 Taiga</w:t>
      </w:r>
      <w:r>
        <w:t xml:space="preserve"> (SLU Artdatabanken, 2026; Nitare &amp; Skogsstyrelsen, 2019).</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13 fyndplatser för knärot registrerade på Artportalen. Figur 2 visar gränserna för buffertzoner på 50 m, som behöver lämnas kring fyndplatserna för att knärotslokalerna inte ska försvinna vid en avverkning. Av det avverkningsanmälda området överlappar 5.11 ha med buffertzonerna och får av detta skäl inte avverkas.</w:t>
      </w:r>
    </w:p>
    <w:p>
      <w:pPr>
        <w:pStyle w:val="Caption"/>
      </w:pPr>
      <w:r>
        <w:drawing>
          <wp:inline xmlns:a="http://schemas.openxmlformats.org/drawingml/2006/main" xmlns:pic="http://schemas.openxmlformats.org/drawingml/2006/picture">
            <wp:extent cx="5486400" cy="5876670"/>
            <wp:docPr id="2" name="Picture 2"/>
            <wp:cNvGraphicFramePr>
              <a:graphicFrameLocks noChangeAspect="1"/>
            </wp:cNvGraphicFramePr>
            <a:graphic>
              <a:graphicData uri="http://schemas.openxmlformats.org/drawingml/2006/picture">
                <pic:pic>
                  <pic:nvPicPr>
                    <pic:cNvPr id="0" name="A 33056-2024 karta knärot.png"/>
                    <pic:cNvPicPr/>
                  </pic:nvPicPr>
                  <pic:blipFill>
                    <a:blip r:embed="rId17"/>
                    <a:stretch>
                      <a:fillRect/>
                    </a:stretch>
                  </pic:blipFill>
                  <pic:spPr>
                    <a:xfrm>
                      <a:off x="0" y="0"/>
                      <a:ext cx="5486400" cy="5876670"/>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6943596, E 490708 i SWEREF 99 TM.</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Harticka (NT)</w:t>
      </w:r>
      <w:r>
        <w:t xml:space="preserve"> är normalt en mycket bra signalart för granskogar med höga naturvärden. Även när svampen påträffas i mer påverkade skogar är det nästan alltid fråga om skogsmiljöer i sena successionsstadier med höga naturvärden. Skogsskötselåtgärder på eller i omedelbar närhet av växtplatserna kan innebära ett hot mot arten. Harticka är typisk art för </w:t>
      </w:r>
      <w:r>
        <w:rPr>
          <w:i/>
        </w:rPr>
        <w:t xml:space="preserve">9010 Taiga, 9050 Näringsrik granskog </w:t>
      </w:r>
      <w:r>
        <w:t xml:space="preserve">och </w:t>
      </w:r>
      <w:r>
        <w:rPr>
          <w:i/>
        </w:rPr>
        <w:t>9030 Landhöjningsskog</w:t>
      </w:r>
      <w:r>
        <w:t xml:space="preserve"> (SLU Artdatabanken, 2024; Nitare &amp; Skogsstyrelsen, 2019).</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På vedflamlavens bål kan den sällsynta spiklaven/parasiten </w:t>
      </w:r>
      <w:r>
        <w:rPr>
          <w:i/>
        </w:rPr>
        <w:t>Calicium ramboldiicola</w:t>
      </w:r>
      <w:r>
        <w:t xml:space="preserve"> (VU) påträffas (SLU Artdatabanken, 2026).</w:t>
      </w:r>
    </w:p>
    <w:p>
      <w:r>
        <w:rPr>
          <w:b/>
        </w:rPr>
        <w:t xml:space="preserve">Vedtrappmossa (NT) </w:t>
      </w:r>
      <w:r>
        <w:t xml:space="preserve">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Vedtrappmossa är typisk art för </w:t>
      </w:r>
      <w:r>
        <w:rPr>
          <w:i/>
        </w:rPr>
        <w:t>9010 Taiga</w:t>
      </w:r>
      <w:r>
        <w:t xml:space="preserve"> (SLU Artdatabanken, 2024).</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r>
        <w:rPr>
          <w:b/>
        </w:rPr>
        <w:t>Luddlav</w:t>
      </w:r>
      <w:r>
        <w:t xml:space="preserve"> signalerar lång skoglig kontinuitet med ett stabilt lokal- och mikroklimat med hög och jämn fuktighet. Luddlav är typisk art för </w:t>
      </w:r>
      <w:r>
        <w:rPr>
          <w:i/>
        </w:rPr>
        <w:t>9010 Taiga,</w:t>
      </w:r>
      <w:r>
        <w:t xml:space="preserve"> </w:t>
      </w:r>
      <w:r>
        <w:rPr>
          <w:i/>
        </w:rPr>
        <w:t xml:space="preserve">9020 Nordlig ädellövskog, 9070 Trädklädd betesmark, 9110 Näringsfattig bokskog, 9180 Ädellövskog i branter </w:t>
      </w:r>
      <w:r>
        <w:t>och</w:t>
      </w:r>
      <w:r>
        <w:rPr>
          <w:i/>
        </w:rPr>
        <w:t xml:space="preserve"> 9190 Näringsfattig ekskog </w:t>
      </w:r>
      <w:r>
        <w:t>(Nitare &amp; Skogsstyrelsen, 2019; SLU Artdatabanken, 2025).</w:t>
      </w:r>
    </w:p>
    <w:p>
      <w:r>
        <w:rPr>
          <w:b/>
        </w:rPr>
        <w:t xml:space="preserve">Norrlandslav </w:t>
      </w:r>
      <w:r>
        <w:t xml:space="preserve">indikerar söder om den naturliga norrlandsgränsen barrskogsbeklädda bergbranter eller andra ostörda skogsmiljöer med höga naturvärden. Norrlandslav är typisk art för </w:t>
      </w:r>
      <w:r>
        <w:rPr>
          <w:i/>
        </w:rPr>
        <w:t xml:space="preserve">9010 Taiga, 8110 Silikatrasmarker </w:t>
      </w:r>
      <w:r>
        <w:t>och</w:t>
      </w:r>
      <w:r>
        <w:rPr>
          <w:i/>
        </w:rPr>
        <w:t xml:space="preserve"> 8120 Kalkrasmarker </w:t>
      </w:r>
      <w:r>
        <w:t>(Nitare &amp; Skogsstyrelsen, 2000; SLU Artdatabanken, 2025).</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doftticka (VU, T, §8), garnlav (VU, T), gränsticka (VU, T), knärot (VU, T, §8), gammelgransskål (NT, T), harticka (NT, T), lunglav (NT, T), skrovellav (NT, T), tretåig hackspett (NT, T, §4), vedtrappmossa (NT, T), luddlav (S, T), norrlandslav (S, T), stuplav (S, T) och tjäder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3" name="Picture 3"/>
            <wp:cNvGraphicFramePr>
              <a:graphicFrameLocks noChangeAspect="1"/>
            </wp:cNvGraphicFramePr>
            <a:graphic>
              <a:graphicData uri="http://schemas.openxmlformats.org/drawingml/2006/picture">
                <pic:pic>
                  <pic:nvPicPr>
                    <pic:cNvPr id="0" name="uppföljning av västlig taiga.jpeg"/>
                    <pic:cNvPicPr/>
                  </pic:nvPicPr>
                  <pic:blipFill>
                    <a:blip r:embed="rId18"/>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